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0E3" w:rsidRDefault="00A120E3">
      <w:pPr>
        <w:pStyle w:val="Nzev"/>
        <w:rPr>
          <w:rFonts w:ascii="Arial" w:hAnsi="Arial" w:cs="Arial"/>
          <w:color w:val="000000"/>
          <w:lang w:val="cs-CZ"/>
        </w:rPr>
      </w:pPr>
      <w:bookmarkStart w:id="0" w:name="_GoBack"/>
      <w:bookmarkEnd w:id="0"/>
    </w:p>
    <w:p w:rsidR="00A120E3" w:rsidRDefault="00A120E3">
      <w:pPr>
        <w:pStyle w:val="Nzev"/>
        <w:rPr>
          <w:rFonts w:ascii="Arial" w:hAnsi="Arial" w:cs="Arial"/>
          <w:color w:val="000000"/>
          <w:lang w:val="cs-CZ"/>
        </w:rPr>
      </w:pPr>
    </w:p>
    <w:p w:rsidR="00A120E3" w:rsidRDefault="00A120E3">
      <w:pPr>
        <w:pStyle w:val="Nzev"/>
        <w:rPr>
          <w:rFonts w:ascii="Arial" w:hAnsi="Arial" w:cs="Arial"/>
          <w:color w:val="000000"/>
          <w:lang w:val="cs-CZ"/>
        </w:rPr>
      </w:pPr>
    </w:p>
    <w:p w:rsidR="009263B7" w:rsidRDefault="009263B7">
      <w:pPr>
        <w:pStyle w:val="Nzev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S M L O U V A    O    D Í L O</w:t>
      </w:r>
    </w:p>
    <w:p w:rsidR="00955D9C" w:rsidRDefault="00955D9C" w:rsidP="00955D9C">
      <w:pPr>
        <w:pStyle w:val="Podtitul"/>
        <w:rPr>
          <w:lang w:val="cs-CZ"/>
        </w:rPr>
      </w:pPr>
      <w:r>
        <w:rPr>
          <w:lang w:val="cs-CZ"/>
        </w:rPr>
        <w:t xml:space="preserve">číslo NEN: </w:t>
      </w:r>
      <w:r w:rsidR="00CF03B3">
        <w:rPr>
          <w:lang w:val="cs-CZ"/>
        </w:rPr>
        <w:t>N006/18/V00004774</w:t>
      </w:r>
    </w:p>
    <w:p w:rsidR="00955D9C" w:rsidRPr="00955D9C" w:rsidRDefault="00955D9C" w:rsidP="00955D9C">
      <w:pPr>
        <w:pStyle w:val="Zkladntext"/>
        <w:jc w:val="center"/>
        <w:rPr>
          <w:rFonts w:ascii="Arial" w:hAnsi="Arial" w:cs="Arial"/>
          <w:lang w:val="cs-CZ"/>
        </w:rPr>
      </w:pPr>
      <w:r w:rsidRPr="00955D9C">
        <w:rPr>
          <w:rFonts w:ascii="Arial" w:hAnsi="Arial" w:cs="Arial"/>
          <w:lang w:val="cs-CZ"/>
        </w:rPr>
        <w:t>č.j. SOAP/002-0</w:t>
      </w:r>
      <w:r w:rsidR="00AB2EC3">
        <w:rPr>
          <w:rFonts w:ascii="Arial" w:hAnsi="Arial" w:cs="Arial"/>
          <w:lang w:val="cs-CZ"/>
        </w:rPr>
        <w:t>---</w:t>
      </w:r>
      <w:r w:rsidRPr="00955D9C">
        <w:rPr>
          <w:rFonts w:ascii="Arial" w:hAnsi="Arial" w:cs="Arial"/>
          <w:lang w:val="cs-CZ"/>
        </w:rPr>
        <w:t>/2018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75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0F5474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0F5474" w:rsidRPr="0013039B" w:rsidTr="000F5474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0F5474" w:rsidRDefault="000F5474" w:rsidP="008B291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5474">
              <w:rPr>
                <w:rFonts w:ascii="Arial" w:hAnsi="Arial" w:cs="Arial"/>
                <w:i/>
                <w:sz w:val="22"/>
                <w:szCs w:val="22"/>
              </w:rPr>
              <w:t>b9xaiw4</w:t>
            </w:r>
          </w:p>
        </w:tc>
      </w:tr>
      <w:tr w:rsidR="000F5474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0F5474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0F5474" w:rsidRPr="0013039B" w:rsidRDefault="000F547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Default="000F5474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Šimáně, </w:t>
            </w:r>
            <w:r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0F5474" w:rsidRPr="001009EB" w:rsidRDefault="000F5474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0F5474" w:rsidRPr="0013039B" w:rsidRDefault="000F54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 w:rsidP="008B291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8B291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0F5474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74" w:rsidRPr="0013039B" w:rsidRDefault="000F5474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474" w:rsidRPr="00F866EF" w:rsidRDefault="000F5474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955D9C">
        <w:rPr>
          <w:rFonts w:ascii="Arial" w:hAnsi="Arial" w:cs="Arial"/>
          <w:b/>
          <w:color w:val="000000"/>
          <w:sz w:val="22"/>
          <w:szCs w:val="22"/>
        </w:rPr>
        <w:t xml:space="preserve">Oprava hromosvodů </w:t>
      </w:r>
      <w:r w:rsidR="001D2BB1">
        <w:rPr>
          <w:rFonts w:ascii="Arial" w:hAnsi="Arial" w:cs="Arial"/>
          <w:b/>
          <w:color w:val="000000"/>
          <w:sz w:val="22"/>
          <w:szCs w:val="22"/>
        </w:rPr>
        <w:t xml:space="preserve">v areálu </w:t>
      </w:r>
      <w:r w:rsidR="00E5344D">
        <w:rPr>
          <w:rFonts w:ascii="Arial" w:hAnsi="Arial" w:cs="Arial"/>
          <w:b/>
          <w:color w:val="000000"/>
          <w:sz w:val="22"/>
          <w:szCs w:val="22"/>
        </w:rPr>
        <w:t xml:space="preserve">Státního okresního archivu </w:t>
      </w:r>
      <w:r w:rsidR="00955D9C">
        <w:rPr>
          <w:rFonts w:ascii="Arial" w:hAnsi="Arial" w:cs="Arial"/>
          <w:b/>
          <w:color w:val="000000"/>
          <w:sz w:val="22"/>
          <w:szCs w:val="22"/>
        </w:rPr>
        <w:t>Rokycany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stavby, projektovou dokumentaci skutečného provedení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,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a doklady podle bodu </w:t>
      </w:r>
      <w:r w:rsidR="008100BA">
        <w:rPr>
          <w:rFonts w:ascii="Arial" w:hAnsi="Arial" w:cs="Arial"/>
          <w:color w:val="000000"/>
          <w:sz w:val="22"/>
          <w:szCs w:val="22"/>
        </w:rPr>
        <w:t>5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5456FC" w:rsidRDefault="005456FC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dále zhotovitel předá průběžnou evidenci všech odpadů vzniklých při provádění díla a doklady o způsobech jejich dalšího využití nebo likvidaci</w:t>
      </w:r>
      <w:r w:rsidR="00E5344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Závazným podkladem pro uzavření této smlouvy o dílo a stanovení smluvní ceny je zveřejněná zadávací dokumentace k veřejné zakázce „</w:t>
      </w:r>
      <w:r w:rsidR="00955D9C">
        <w:rPr>
          <w:rFonts w:ascii="Arial" w:hAnsi="Arial" w:cs="Arial"/>
          <w:sz w:val="22"/>
          <w:szCs w:val="22"/>
        </w:rPr>
        <w:t>Oprava hromosvodů v areálu Státního okresního archivu Rokycany</w:t>
      </w:r>
      <w:r>
        <w:rPr>
          <w:rFonts w:ascii="Arial" w:hAnsi="Arial" w:cs="Arial"/>
          <w:sz w:val="22"/>
          <w:szCs w:val="22"/>
        </w:rPr>
        <w:t xml:space="preserve">“ ze dne </w:t>
      </w:r>
      <w:r w:rsidR="00C253A5" w:rsidRPr="00C253A5">
        <w:rPr>
          <w:rFonts w:ascii="Arial" w:hAnsi="Arial" w:cs="Arial"/>
          <w:sz w:val="22"/>
          <w:szCs w:val="22"/>
        </w:rPr>
        <w:t>18</w:t>
      </w:r>
      <w:r w:rsidR="00106EB3" w:rsidRPr="00C253A5">
        <w:rPr>
          <w:rFonts w:ascii="Arial" w:hAnsi="Arial" w:cs="Arial"/>
          <w:sz w:val="22"/>
          <w:szCs w:val="22"/>
        </w:rPr>
        <w:t>.</w:t>
      </w:r>
      <w:r w:rsidR="00955D9C" w:rsidRPr="00C253A5">
        <w:rPr>
          <w:rFonts w:ascii="Arial" w:hAnsi="Arial" w:cs="Arial"/>
          <w:sz w:val="22"/>
          <w:szCs w:val="22"/>
        </w:rPr>
        <w:t>4</w:t>
      </w:r>
      <w:r w:rsidR="00106EB3" w:rsidRPr="00C253A5">
        <w:rPr>
          <w:rFonts w:ascii="Arial" w:hAnsi="Arial" w:cs="Arial"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404F93" w:rsidRDefault="00404F93" w:rsidP="00404F93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Položkový soupis prací, oceněný jako cenová nabídka zhotovitele jako Příloha č. 1 této smlouvy</w:t>
      </w:r>
    </w:p>
    <w:p w:rsidR="00404F93" w:rsidRDefault="00404F93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lastRenderedPageBreak/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9263B7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3039B">
        <w:rPr>
          <w:rFonts w:ascii="Arial" w:hAnsi="Arial" w:cs="Arial"/>
          <w:b w:val="0"/>
          <w:bCs w:val="0"/>
          <w:sz w:val="22"/>
          <w:szCs w:val="22"/>
        </w:rPr>
        <w:t xml:space="preserve">Termín zahájení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 w:rsidR="00016260">
        <w:rPr>
          <w:rFonts w:ascii="Arial" w:hAnsi="Arial" w:cs="Arial"/>
          <w:b w:val="0"/>
          <w:bCs w:val="0"/>
          <w:sz w:val="22"/>
          <w:szCs w:val="22"/>
          <w:lang w:val="cs-CZ"/>
        </w:rPr>
        <w:t>od data podpisu smlouvy</w:t>
      </w:r>
      <w:r w:rsidRPr="0013039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9263B7" w:rsidRPr="00947CB2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404F93" w:rsidRPr="00947CB2">
        <w:rPr>
          <w:rFonts w:ascii="Arial" w:hAnsi="Arial" w:cs="Arial"/>
          <w:b/>
          <w:sz w:val="22"/>
          <w:szCs w:val="22"/>
        </w:rPr>
        <w:t>31</w:t>
      </w:r>
      <w:r w:rsidR="00745ED1" w:rsidRPr="00947CB2">
        <w:rPr>
          <w:rFonts w:ascii="Arial" w:hAnsi="Arial" w:cs="Arial"/>
          <w:b/>
          <w:sz w:val="22"/>
          <w:szCs w:val="22"/>
        </w:rPr>
        <w:t>.</w:t>
      </w:r>
      <w:r w:rsidR="00947CB2" w:rsidRPr="00947CB2">
        <w:rPr>
          <w:rFonts w:ascii="Arial" w:hAnsi="Arial" w:cs="Arial"/>
          <w:b/>
          <w:sz w:val="22"/>
          <w:szCs w:val="22"/>
        </w:rPr>
        <w:t>8</w:t>
      </w:r>
      <w:r w:rsidR="00745ED1" w:rsidRPr="00947CB2">
        <w:rPr>
          <w:rFonts w:ascii="Arial" w:hAnsi="Arial" w:cs="Arial"/>
          <w:b/>
          <w:sz w:val="22"/>
          <w:szCs w:val="22"/>
        </w:rPr>
        <w:t>.201</w:t>
      </w:r>
      <w:r w:rsidR="00E5344D" w:rsidRPr="00947CB2">
        <w:rPr>
          <w:rFonts w:ascii="Arial" w:hAnsi="Arial" w:cs="Arial"/>
          <w:b/>
          <w:sz w:val="22"/>
          <w:szCs w:val="22"/>
        </w:rPr>
        <w:t>8</w:t>
      </w:r>
      <w:r w:rsidR="00745ED1" w:rsidRPr="00947CB2">
        <w:rPr>
          <w:rFonts w:ascii="Arial" w:hAnsi="Arial" w:cs="Arial"/>
          <w:b/>
          <w:sz w:val="22"/>
          <w:szCs w:val="22"/>
        </w:rPr>
        <w:t>.</w:t>
      </w:r>
      <w:r w:rsidR="00F866EF" w:rsidRPr="00947CB2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955D9C">
        <w:rPr>
          <w:rFonts w:ascii="Arial" w:hAnsi="Arial" w:cs="Arial"/>
          <w:sz w:val="22"/>
          <w:szCs w:val="22"/>
        </w:rPr>
        <w:t>Rokycany, Jeřabinová č.p. 1043 a č.p. 1044, Rokycany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lastRenderedPageBreak/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47CB2" w:rsidRDefault="00947CB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47CB2" w:rsidRDefault="00947CB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47CB2" w:rsidRDefault="00947CB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955D9C">
        <w:rPr>
          <w:rFonts w:ascii="Arial" w:hAnsi="Arial" w:cs="Arial"/>
          <w:color w:val="000000"/>
          <w:sz w:val="22"/>
          <w:szCs w:val="22"/>
        </w:rPr>
        <w:t>Oprava hromosvodů v areálu SOkA Rokycany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C253A5" w:rsidRPr="00C253A5">
        <w:rPr>
          <w:rFonts w:ascii="Arial" w:hAnsi="Arial" w:cs="Arial"/>
          <w:sz w:val="22"/>
          <w:szCs w:val="22"/>
        </w:rPr>
        <w:t>18</w:t>
      </w:r>
      <w:r w:rsidR="00081046" w:rsidRPr="00C253A5">
        <w:rPr>
          <w:rFonts w:ascii="Arial" w:hAnsi="Arial" w:cs="Arial"/>
          <w:sz w:val="22"/>
          <w:szCs w:val="22"/>
        </w:rPr>
        <w:t>.</w:t>
      </w:r>
      <w:r w:rsidR="00955D9C" w:rsidRPr="00C253A5">
        <w:rPr>
          <w:rFonts w:ascii="Arial" w:hAnsi="Arial" w:cs="Arial"/>
          <w:sz w:val="22"/>
          <w:szCs w:val="22"/>
        </w:rPr>
        <w:t>4</w:t>
      </w:r>
      <w:r w:rsidR="00081046" w:rsidRPr="00C253A5">
        <w:rPr>
          <w:rFonts w:ascii="Arial" w:hAnsi="Arial" w:cs="Arial"/>
          <w:sz w:val="22"/>
          <w:szCs w:val="22"/>
        </w:rPr>
        <w:t>.2018</w:t>
      </w:r>
      <w:r w:rsidR="00404F93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9A01CA">
        <w:rPr>
          <w:rFonts w:ascii="Arial" w:hAnsi="Arial" w:cs="Arial"/>
          <w:color w:val="000000"/>
          <w:sz w:val="22"/>
          <w:szCs w:val="22"/>
        </w:rPr>
        <w:t>8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9A01CA" w:rsidRPr="00081046">
        <w:rPr>
          <w:rFonts w:ascii="Arial" w:hAnsi="Arial" w:cs="Arial"/>
          <w:sz w:val="22"/>
          <w:szCs w:val="22"/>
        </w:rPr>
        <w:t>7</w:t>
      </w:r>
      <w:r w:rsidR="007352EF" w:rsidRPr="00081046">
        <w:rPr>
          <w:rFonts w:ascii="Arial" w:hAnsi="Arial" w:cs="Arial"/>
          <w:sz w:val="22"/>
          <w:szCs w:val="22"/>
        </w:rPr>
        <w:t xml:space="preserve"> </w:t>
      </w:r>
      <w:r w:rsidRPr="00081046">
        <w:rPr>
          <w:rFonts w:ascii="Arial" w:hAnsi="Arial" w:cs="Arial"/>
          <w:sz w:val="22"/>
          <w:szCs w:val="22"/>
        </w:rPr>
        <w:t>-1</w:t>
      </w:r>
      <w:r w:rsidR="004137D3" w:rsidRPr="00081046">
        <w:rPr>
          <w:rFonts w:ascii="Arial" w:hAnsi="Arial" w:cs="Arial"/>
          <w:sz w:val="22"/>
          <w:szCs w:val="22"/>
        </w:rPr>
        <w:t>6</w:t>
      </w:r>
      <w:r w:rsidRPr="00081046">
        <w:rPr>
          <w:rFonts w:ascii="Arial" w:hAnsi="Arial" w:cs="Arial"/>
          <w:sz w:val="22"/>
          <w:szCs w:val="22"/>
        </w:rPr>
        <w:t xml:space="preserve"> hodin</w:t>
      </w:r>
      <w:r w:rsidRPr="0013039B">
        <w:rPr>
          <w:rFonts w:ascii="Arial" w:hAnsi="Arial" w:cs="Arial"/>
          <w:color w:val="000000"/>
          <w:sz w:val="22"/>
          <w:szCs w:val="22"/>
        </w:rPr>
        <w:t>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955D9C">
        <w:rPr>
          <w:rFonts w:ascii="Arial" w:hAnsi="Arial" w:cs="Arial"/>
          <w:color w:val="000000"/>
          <w:sz w:val="22"/>
          <w:szCs w:val="22"/>
        </w:rPr>
        <w:t xml:space="preserve"> (zábor apod.)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C139B" w:rsidRDefault="001C139B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C139B" w:rsidRDefault="001C139B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C139B" w:rsidRDefault="001C139B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C139B" w:rsidRPr="0013039B" w:rsidRDefault="001C139B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CD432E" w:rsidRDefault="00CD432E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Pr="0013039B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955D9C">
        <w:rPr>
          <w:rFonts w:ascii="Arial" w:hAnsi="Arial" w:cs="Arial"/>
          <w:sz w:val="22"/>
          <w:szCs w:val="22"/>
        </w:rPr>
        <w:t>PhDr. Hana Hrachová, Ph.D.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</w:t>
      </w:r>
      <w:r w:rsidR="00955D9C">
        <w:rPr>
          <w:rFonts w:ascii="Arial" w:hAnsi="Arial" w:cs="Arial"/>
          <w:sz w:val="22"/>
          <w:szCs w:val="22"/>
        </w:rPr>
        <w:t> </w:t>
      </w:r>
      <w:r w:rsidR="00CD728D">
        <w:rPr>
          <w:rFonts w:ascii="Arial" w:hAnsi="Arial" w:cs="Arial"/>
          <w:sz w:val="22"/>
          <w:szCs w:val="22"/>
        </w:rPr>
        <w:t>247</w:t>
      </w:r>
      <w:r w:rsidR="00955D9C">
        <w:rPr>
          <w:rFonts w:ascii="Arial" w:hAnsi="Arial" w:cs="Arial"/>
          <w:sz w:val="22"/>
          <w:szCs w:val="22"/>
        </w:rPr>
        <w:t xml:space="preserve"> 524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CD432E" w:rsidRPr="0013039B" w:rsidRDefault="00CD432E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39B" w:rsidRDefault="001C139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39B" w:rsidRDefault="001C139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39B" w:rsidRDefault="001C139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39B" w:rsidRDefault="001C139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C139B" w:rsidRDefault="001C139B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D432E" w:rsidRDefault="00CD432E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756282" w:rsidRDefault="00756282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9A01CA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955D9C">
      <w:footerReference w:type="default" r:id="rId7"/>
      <w:pgSz w:w="11906" w:h="16838"/>
      <w:pgMar w:top="709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9D" w:rsidRDefault="00D24E9D">
      <w:r>
        <w:separator/>
      </w:r>
    </w:p>
  </w:endnote>
  <w:endnote w:type="continuationSeparator" w:id="0">
    <w:p w:rsidR="00D24E9D" w:rsidRDefault="00D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E3" w:rsidRPr="00AD4688" w:rsidRDefault="00A120E3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8F074D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A120E3" w:rsidRPr="00AD4688" w:rsidRDefault="00A120E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9D" w:rsidRDefault="00D24E9D">
      <w:r>
        <w:separator/>
      </w:r>
    </w:p>
  </w:footnote>
  <w:footnote w:type="continuationSeparator" w:id="0">
    <w:p w:rsidR="00D24E9D" w:rsidRDefault="00D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9"/>
    <w:rsid w:val="00010E58"/>
    <w:rsid w:val="00011901"/>
    <w:rsid w:val="00016260"/>
    <w:rsid w:val="00072BD3"/>
    <w:rsid w:val="00081046"/>
    <w:rsid w:val="000810BB"/>
    <w:rsid w:val="000A1AB5"/>
    <w:rsid w:val="000C3C4D"/>
    <w:rsid w:val="000D10B9"/>
    <w:rsid w:val="000D5CE6"/>
    <w:rsid w:val="000F5474"/>
    <w:rsid w:val="001009EB"/>
    <w:rsid w:val="0010672D"/>
    <w:rsid w:val="00106EB3"/>
    <w:rsid w:val="0013039B"/>
    <w:rsid w:val="00163444"/>
    <w:rsid w:val="0017194B"/>
    <w:rsid w:val="00174F04"/>
    <w:rsid w:val="00181741"/>
    <w:rsid w:val="00195836"/>
    <w:rsid w:val="001B0340"/>
    <w:rsid w:val="001B381E"/>
    <w:rsid w:val="001C139B"/>
    <w:rsid w:val="001C6EE6"/>
    <w:rsid w:val="001D1920"/>
    <w:rsid w:val="001D2BB1"/>
    <w:rsid w:val="002331CC"/>
    <w:rsid w:val="00253888"/>
    <w:rsid w:val="002841FF"/>
    <w:rsid w:val="00285D8D"/>
    <w:rsid w:val="002942BA"/>
    <w:rsid w:val="00294ECD"/>
    <w:rsid w:val="002A32D1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4202"/>
    <w:rsid w:val="003D0826"/>
    <w:rsid w:val="003D30EF"/>
    <w:rsid w:val="003D6EAF"/>
    <w:rsid w:val="003F712A"/>
    <w:rsid w:val="00404F93"/>
    <w:rsid w:val="004137D3"/>
    <w:rsid w:val="00432E34"/>
    <w:rsid w:val="00447B4C"/>
    <w:rsid w:val="004538AC"/>
    <w:rsid w:val="004545EC"/>
    <w:rsid w:val="0045785E"/>
    <w:rsid w:val="00475689"/>
    <w:rsid w:val="004965CB"/>
    <w:rsid w:val="004B60A6"/>
    <w:rsid w:val="00506355"/>
    <w:rsid w:val="005246E0"/>
    <w:rsid w:val="005353C3"/>
    <w:rsid w:val="005456FC"/>
    <w:rsid w:val="00557C12"/>
    <w:rsid w:val="005648FD"/>
    <w:rsid w:val="00576DB4"/>
    <w:rsid w:val="00584FF0"/>
    <w:rsid w:val="005A1316"/>
    <w:rsid w:val="005A7B93"/>
    <w:rsid w:val="005B4B3E"/>
    <w:rsid w:val="005C5869"/>
    <w:rsid w:val="005E7360"/>
    <w:rsid w:val="006501C6"/>
    <w:rsid w:val="00651144"/>
    <w:rsid w:val="0069531E"/>
    <w:rsid w:val="006A6B32"/>
    <w:rsid w:val="006B3761"/>
    <w:rsid w:val="006B43FD"/>
    <w:rsid w:val="006C4ECD"/>
    <w:rsid w:val="006C764F"/>
    <w:rsid w:val="006C7D50"/>
    <w:rsid w:val="006D57FF"/>
    <w:rsid w:val="006F57B9"/>
    <w:rsid w:val="007352EF"/>
    <w:rsid w:val="00742FFD"/>
    <w:rsid w:val="007431B2"/>
    <w:rsid w:val="00745ED1"/>
    <w:rsid w:val="00756282"/>
    <w:rsid w:val="007A37C2"/>
    <w:rsid w:val="007C20FC"/>
    <w:rsid w:val="007C23C5"/>
    <w:rsid w:val="00804F72"/>
    <w:rsid w:val="008100BA"/>
    <w:rsid w:val="008271E8"/>
    <w:rsid w:val="008359BF"/>
    <w:rsid w:val="00837BA0"/>
    <w:rsid w:val="0084122D"/>
    <w:rsid w:val="00896CC4"/>
    <w:rsid w:val="008B2913"/>
    <w:rsid w:val="008C15F0"/>
    <w:rsid w:val="008C1C40"/>
    <w:rsid w:val="008E472B"/>
    <w:rsid w:val="008E5020"/>
    <w:rsid w:val="008F074D"/>
    <w:rsid w:val="00900BFF"/>
    <w:rsid w:val="00913511"/>
    <w:rsid w:val="0091672C"/>
    <w:rsid w:val="009263B7"/>
    <w:rsid w:val="00940918"/>
    <w:rsid w:val="00947CB2"/>
    <w:rsid w:val="00951702"/>
    <w:rsid w:val="00955D9C"/>
    <w:rsid w:val="00961A33"/>
    <w:rsid w:val="0098114F"/>
    <w:rsid w:val="0098526C"/>
    <w:rsid w:val="00985BE9"/>
    <w:rsid w:val="009A01CA"/>
    <w:rsid w:val="009A25F8"/>
    <w:rsid w:val="009A630E"/>
    <w:rsid w:val="009C71DC"/>
    <w:rsid w:val="009D0F85"/>
    <w:rsid w:val="009F29C9"/>
    <w:rsid w:val="009F2FCE"/>
    <w:rsid w:val="009F34EE"/>
    <w:rsid w:val="00A120E3"/>
    <w:rsid w:val="00A54BF9"/>
    <w:rsid w:val="00A806DB"/>
    <w:rsid w:val="00A909F6"/>
    <w:rsid w:val="00AB2EC3"/>
    <w:rsid w:val="00AC667C"/>
    <w:rsid w:val="00AD4688"/>
    <w:rsid w:val="00B004F5"/>
    <w:rsid w:val="00B017E1"/>
    <w:rsid w:val="00B02DC2"/>
    <w:rsid w:val="00B044D7"/>
    <w:rsid w:val="00B31663"/>
    <w:rsid w:val="00B374AB"/>
    <w:rsid w:val="00B43E9F"/>
    <w:rsid w:val="00B500B6"/>
    <w:rsid w:val="00B62AF1"/>
    <w:rsid w:val="00B70744"/>
    <w:rsid w:val="00B72C68"/>
    <w:rsid w:val="00B74715"/>
    <w:rsid w:val="00B75319"/>
    <w:rsid w:val="00B843BB"/>
    <w:rsid w:val="00B8562C"/>
    <w:rsid w:val="00BA30E8"/>
    <w:rsid w:val="00BA4BF9"/>
    <w:rsid w:val="00BB0F09"/>
    <w:rsid w:val="00BB6DAA"/>
    <w:rsid w:val="00BC410C"/>
    <w:rsid w:val="00BD724E"/>
    <w:rsid w:val="00BF6B74"/>
    <w:rsid w:val="00C07648"/>
    <w:rsid w:val="00C12146"/>
    <w:rsid w:val="00C12414"/>
    <w:rsid w:val="00C253A5"/>
    <w:rsid w:val="00C26184"/>
    <w:rsid w:val="00C5260E"/>
    <w:rsid w:val="00C66A4E"/>
    <w:rsid w:val="00C73F7E"/>
    <w:rsid w:val="00C9569E"/>
    <w:rsid w:val="00CC056E"/>
    <w:rsid w:val="00CC34E2"/>
    <w:rsid w:val="00CD432E"/>
    <w:rsid w:val="00CD728D"/>
    <w:rsid w:val="00CF03B3"/>
    <w:rsid w:val="00D151AA"/>
    <w:rsid w:val="00D24E9D"/>
    <w:rsid w:val="00D32FED"/>
    <w:rsid w:val="00D34D72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AE8"/>
    <w:rsid w:val="00DF7492"/>
    <w:rsid w:val="00E0254E"/>
    <w:rsid w:val="00E04748"/>
    <w:rsid w:val="00E21EBE"/>
    <w:rsid w:val="00E46E67"/>
    <w:rsid w:val="00E5344D"/>
    <w:rsid w:val="00E66BB4"/>
    <w:rsid w:val="00E67974"/>
    <w:rsid w:val="00E9713E"/>
    <w:rsid w:val="00EB67E3"/>
    <w:rsid w:val="00EB6989"/>
    <w:rsid w:val="00EE1C10"/>
    <w:rsid w:val="00F0291C"/>
    <w:rsid w:val="00F0571C"/>
    <w:rsid w:val="00F05961"/>
    <w:rsid w:val="00F144FD"/>
    <w:rsid w:val="00F42737"/>
    <w:rsid w:val="00F47CF8"/>
    <w:rsid w:val="00F5016A"/>
    <w:rsid w:val="00F61366"/>
    <w:rsid w:val="00F65B9F"/>
    <w:rsid w:val="00F7173D"/>
    <w:rsid w:val="00F866EF"/>
    <w:rsid w:val="00F87B8F"/>
    <w:rsid w:val="00FA1B06"/>
    <w:rsid w:val="00FA6B3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D33851-522D-4510-8E04-731D31B2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Vladimír Pavelka</dc:creator>
  <cp:keywords/>
  <cp:lastModifiedBy>kocourek</cp:lastModifiedBy>
  <cp:revision>2</cp:revision>
  <cp:lastPrinted>2018-02-23T08:27:00Z</cp:lastPrinted>
  <dcterms:created xsi:type="dcterms:W3CDTF">2018-04-18T09:56:00Z</dcterms:created>
  <dcterms:modified xsi:type="dcterms:W3CDTF">2018-04-18T09:56:00Z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-598789597</vt:i4>
  </property>
  <property fmtid="{D5CDD505-2E9C-101B-9397-08002B2CF9AE}" pid="3" name="_NewReviewCycle">
    <vt:lpwstr/>
  </property>
  <property fmtid="{D5CDD505-2E9C-101B-9397-08002B2CF9AE}" pid="4" name="_EmailSubject">
    <vt:lpwstr>Výzva k podání nabídky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