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Pr="0013039B" w:rsidRDefault="009263B7">
      <w:pPr>
        <w:pStyle w:val="Nzev"/>
        <w:rPr>
          <w:rFonts w:ascii="Arial" w:hAnsi="Arial" w:cs="Arial"/>
          <w:color w:val="000000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B63122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Karel Halla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</w:t>
            </w:r>
            <w:r w:rsidR="00B63122">
              <w:rPr>
                <w:rFonts w:ascii="Arial" w:hAnsi="Arial" w:cs="Arial"/>
                <w:sz w:val="22"/>
                <w:szCs w:val="22"/>
              </w:rPr>
              <w:t>442</w:t>
            </w:r>
            <w:r>
              <w:rPr>
                <w:rFonts w:ascii="Arial" w:hAnsi="Arial" w:cs="Arial"/>
                <w:sz w:val="22"/>
                <w:szCs w:val="22"/>
              </w:rPr>
              <w:t>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146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Pr="0013039B" w:rsidRDefault="00C12146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46" w:rsidRPr="0013039B" w:rsidRDefault="00C12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0BB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0BB" w:rsidRPr="0013039B" w:rsidRDefault="002942BA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</w:t>
            </w:r>
            <w:r w:rsidR="000810BB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BB" w:rsidRPr="0013039B" w:rsidRDefault="000810BB" w:rsidP="00081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9263B7" w:rsidRPr="0013039B" w:rsidRDefault="009263B7">
      <w:pPr>
        <w:rPr>
          <w:rFonts w:ascii="Arial" w:hAnsi="Arial" w:cs="Arial"/>
          <w:color w:val="000000"/>
        </w:rPr>
      </w:pPr>
    </w:p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B63122" w:rsidRPr="00B63122">
        <w:rPr>
          <w:rFonts w:ascii="Arial" w:hAnsi="Arial" w:cs="Arial"/>
          <w:b/>
          <w:color w:val="000000"/>
          <w:sz w:val="22"/>
          <w:szCs w:val="22"/>
        </w:rPr>
        <w:t>Oprava fasády a výměna střešní krytiny objektu Františkánské náměstí č.p. 84/3, v areálu Státního okresního archivu Cheb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>e dne 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…….</w:t>
      </w:r>
      <w:r w:rsidRPr="005B4B3E">
        <w:rPr>
          <w:rFonts w:ascii="Arial" w:hAnsi="Arial" w:cs="Arial"/>
          <w:color w:val="000000"/>
          <w:sz w:val="22"/>
          <w:szCs w:val="22"/>
        </w:rPr>
        <w:t>, který je nedílnou přílohou této smlouvy o dílo.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>Cena za provedené dílo v rozsahu Čl.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 platném znění,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cena bez DPH :          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sazba DPH :                 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cena včetně DPH :     .........................................................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>slovy:         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B63122" w:rsidRPr="00B63122">
        <w:rPr>
          <w:rFonts w:ascii="Arial" w:hAnsi="Arial" w:cs="Arial"/>
          <w:b/>
          <w:color w:val="000000"/>
          <w:sz w:val="22"/>
          <w:szCs w:val="22"/>
        </w:rPr>
        <w:t>Oprava fasády a výměna střešní krytiny objektu Františkánské náměstí č.p. 84/3, v areálu Státního okresního archivu Cheb</w:t>
      </w:r>
      <w:r>
        <w:rPr>
          <w:rFonts w:ascii="Arial" w:hAnsi="Arial" w:cs="Arial"/>
          <w:sz w:val="22"/>
          <w:szCs w:val="22"/>
        </w:rPr>
        <w:t xml:space="preserve">“ ze dne </w:t>
      </w:r>
      <w:r w:rsidR="0031485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B6312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0162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896CC4" w:rsidRDefault="00B63122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6CC4">
        <w:rPr>
          <w:rFonts w:ascii="Arial" w:hAnsi="Arial" w:cs="Arial"/>
          <w:sz w:val="22"/>
          <w:szCs w:val="22"/>
        </w:rPr>
        <w:t xml:space="preserve">) Položkový </w:t>
      </w:r>
      <w:r>
        <w:rPr>
          <w:rFonts w:ascii="Arial" w:hAnsi="Arial" w:cs="Arial"/>
          <w:sz w:val="22"/>
          <w:szCs w:val="22"/>
        </w:rPr>
        <w:t xml:space="preserve">soupis prací, oceněný jako cenová nabídka </w:t>
      </w:r>
      <w:r w:rsidR="003D420C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jako Příloha č. 1 této smlouvy</w:t>
      </w:r>
    </w:p>
    <w:p w:rsidR="00B63122" w:rsidRDefault="00B63122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Závazné stanovisko MěÚ Cheb, odbor stavební a životního prostředí, vydaného dne 1.9.2016 pod č.j. MUCH 74892/2016 Sni</w:t>
      </w:r>
    </w:p>
    <w:p w:rsidR="00B63122" w:rsidRDefault="00B63122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Souhlasné stanovisko s ohlášením stavby MěÚ Cheb, odbor stavební a životního prostředí, vydaného dne </w:t>
      </w:r>
      <w:r w:rsidR="00B1345B">
        <w:rPr>
          <w:rFonts w:ascii="Arial" w:hAnsi="Arial" w:cs="Arial"/>
          <w:sz w:val="22"/>
          <w:szCs w:val="22"/>
        </w:rPr>
        <w:t xml:space="preserve">8.9.2016 </w:t>
      </w:r>
      <w:r>
        <w:rPr>
          <w:rFonts w:ascii="Arial" w:hAnsi="Arial" w:cs="Arial"/>
          <w:sz w:val="22"/>
          <w:szCs w:val="22"/>
        </w:rPr>
        <w:t xml:space="preserve">pod č.j. </w:t>
      </w:r>
      <w:r w:rsidR="00B1345B">
        <w:rPr>
          <w:rFonts w:ascii="Arial" w:hAnsi="Arial" w:cs="Arial"/>
          <w:sz w:val="22"/>
          <w:szCs w:val="22"/>
        </w:rPr>
        <w:t>MUCH 76995/2016/Heg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Cena za dílo je pevná, konečná a nepřekročitelná a zhotovitel prohlašuje, že provede dílo řádně, kompletně, včas a za uvedenou cenu.</w:t>
      </w:r>
    </w:p>
    <w:p w:rsidR="00F5016A" w:rsidRPr="0013039B" w:rsidRDefault="00F5016A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před uzavřením smlouvy berou na vědomí, že dílo bylo zadáno podle úplného rozpočtu, a tedy požadavky na případné zvýšení ceny jsou vyloučeny ve smyslu ustanovení § 2621 zákona č. 89/2012 Sb., občanský zákoník, v platném znění. </w:t>
      </w:r>
    </w:p>
    <w:p w:rsidR="009263B7" w:rsidRPr="0013039B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včetně ocenění.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12146" w:rsidRPr="0013039B" w:rsidRDefault="00C12146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ne</w:t>
      </w:r>
      <w:r w:rsidR="001B381E">
        <w:rPr>
          <w:rFonts w:ascii="Arial" w:hAnsi="Arial" w:cs="Arial"/>
          <w:sz w:val="22"/>
          <w:szCs w:val="22"/>
        </w:rPr>
        <w:t>budou poskytovány</w:t>
      </w:r>
      <w:r>
        <w:rPr>
          <w:rFonts w:ascii="Arial" w:hAnsi="Arial" w:cs="Arial"/>
          <w:sz w:val="22"/>
          <w:szCs w:val="22"/>
        </w:rPr>
        <w:t>. Platba za předmět plnění bude realizována jednorázově po ukončení plnění veřejné zakázky</w:t>
      </w:r>
      <w:r w:rsidR="00B1345B">
        <w:rPr>
          <w:rFonts w:ascii="Arial" w:hAnsi="Arial" w:cs="Arial"/>
          <w:sz w:val="22"/>
          <w:szCs w:val="22"/>
        </w:rPr>
        <w:t xml:space="preserve"> na základě vystaveného daňového dokladu po </w:t>
      </w:r>
      <w:r>
        <w:rPr>
          <w:rFonts w:ascii="Arial" w:hAnsi="Arial" w:cs="Arial"/>
          <w:sz w:val="22"/>
          <w:szCs w:val="22"/>
        </w:rPr>
        <w:t>převzetí díla objednatelem formou</w:t>
      </w:r>
      <w:r w:rsidR="000C2EB6">
        <w:rPr>
          <w:rFonts w:ascii="Arial" w:hAnsi="Arial" w:cs="Arial"/>
          <w:sz w:val="22"/>
          <w:szCs w:val="22"/>
        </w:rPr>
        <w:t xml:space="preserve"> podpisu předávacího protokolu.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Lhůta splatnosti </w:t>
      </w:r>
      <w:r w:rsidR="000C2EB6">
        <w:rPr>
          <w:rFonts w:ascii="Arial" w:hAnsi="Arial" w:cs="Arial"/>
          <w:color w:val="000000"/>
          <w:sz w:val="22"/>
          <w:szCs w:val="22"/>
        </w:rPr>
        <w:t>daňového dokladu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se stanovuje na 21 kalendářních dnů od data jeho prokazatelného doručení objednateli.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Pr="0013039B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9263B7" w:rsidRPr="0013039B" w:rsidRDefault="009263B7">
      <w:pPr>
        <w:tabs>
          <w:tab w:val="left" w:pos="864"/>
        </w:tabs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 w:rsidR="00016260">
        <w:rPr>
          <w:rFonts w:ascii="Arial" w:hAnsi="Arial" w:cs="Arial"/>
          <w:b w:val="0"/>
          <w:bCs w:val="0"/>
          <w:sz w:val="22"/>
          <w:szCs w:val="22"/>
          <w:lang w:val="cs-CZ"/>
        </w:rPr>
        <w:t>od data podpisu smlouvy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je povinen předat objednateli předmět díla řádně dokončený nejpozději do </w:t>
      </w:r>
      <w:r w:rsidR="005E3A24">
        <w:rPr>
          <w:rFonts w:ascii="Arial" w:hAnsi="Arial" w:cs="Arial"/>
          <w:sz w:val="22"/>
          <w:szCs w:val="22"/>
        </w:rPr>
        <w:t>30</w:t>
      </w:r>
      <w:r w:rsidR="00745ED1">
        <w:rPr>
          <w:rFonts w:ascii="Arial" w:hAnsi="Arial" w:cs="Arial"/>
          <w:sz w:val="22"/>
          <w:szCs w:val="22"/>
        </w:rPr>
        <w:t>.</w:t>
      </w:r>
      <w:r w:rsidR="003D420C">
        <w:rPr>
          <w:rFonts w:ascii="Arial" w:hAnsi="Arial" w:cs="Arial"/>
          <w:sz w:val="22"/>
          <w:szCs w:val="22"/>
        </w:rPr>
        <w:t>1</w:t>
      </w:r>
      <w:r w:rsidR="005E3A24">
        <w:rPr>
          <w:rFonts w:ascii="Arial" w:hAnsi="Arial" w:cs="Arial"/>
          <w:sz w:val="22"/>
          <w:szCs w:val="22"/>
        </w:rPr>
        <w:t>1</w:t>
      </w:r>
      <w:r w:rsidR="00745ED1">
        <w:rPr>
          <w:rFonts w:ascii="Arial" w:hAnsi="Arial" w:cs="Arial"/>
          <w:sz w:val="22"/>
          <w:szCs w:val="22"/>
        </w:rPr>
        <w:t>.2016.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převzetí dokončené stavby objednatelem.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3D420C">
        <w:rPr>
          <w:rFonts w:ascii="Arial" w:hAnsi="Arial" w:cs="Arial"/>
          <w:sz w:val="22"/>
          <w:szCs w:val="22"/>
        </w:rPr>
        <w:t>okresní archiv Cheb, Františkánské náměstí č.p. 84/3, Cheb.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dokumentace k veřejné zakázce „</w:t>
      </w:r>
      <w:r w:rsidR="003D420C" w:rsidRPr="00B63122">
        <w:rPr>
          <w:rFonts w:ascii="Arial" w:hAnsi="Arial" w:cs="Arial"/>
          <w:b/>
          <w:color w:val="000000"/>
          <w:sz w:val="22"/>
          <w:szCs w:val="22"/>
        </w:rPr>
        <w:t>Oprava fasády a výměna střešní krytiny objektu Františkánské náměstí č.p. 84/3, v areálu Státního okresního archivu Cheb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314854">
        <w:rPr>
          <w:rFonts w:ascii="Arial" w:hAnsi="Arial" w:cs="Arial"/>
          <w:color w:val="000000"/>
          <w:sz w:val="22"/>
          <w:szCs w:val="22"/>
        </w:rPr>
        <w:t>14</w:t>
      </w:r>
      <w:r w:rsidR="007A37C2">
        <w:rPr>
          <w:rFonts w:ascii="Arial" w:hAnsi="Arial" w:cs="Arial"/>
          <w:color w:val="000000"/>
          <w:sz w:val="22"/>
          <w:szCs w:val="22"/>
        </w:rPr>
        <w:t>.</w:t>
      </w:r>
      <w:r w:rsidR="003D420C">
        <w:rPr>
          <w:rFonts w:ascii="Arial" w:hAnsi="Arial" w:cs="Arial"/>
          <w:color w:val="000000"/>
          <w:sz w:val="22"/>
          <w:szCs w:val="22"/>
        </w:rPr>
        <w:t>9</w:t>
      </w:r>
      <w:r w:rsidR="007A37C2">
        <w:rPr>
          <w:rFonts w:ascii="Arial" w:hAnsi="Arial" w:cs="Arial"/>
          <w:color w:val="000000"/>
          <w:sz w:val="22"/>
          <w:szCs w:val="22"/>
        </w:rPr>
        <w:t>.201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</w:t>
      </w:r>
      <w:r w:rsidR="000D5CE6">
        <w:rPr>
          <w:rFonts w:ascii="Arial" w:hAnsi="Arial" w:cs="Arial"/>
          <w:color w:val="000000"/>
          <w:sz w:val="22"/>
          <w:szCs w:val="22"/>
        </w:rPr>
        <w:t>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E7DC0" w:rsidRDefault="009E7DC0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VII.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Pr="003C4202">
        <w:rPr>
          <w:rFonts w:ascii="Arial" w:hAnsi="Arial" w:cs="Arial"/>
          <w:sz w:val="22"/>
          <w:szCs w:val="22"/>
        </w:rPr>
        <w:t>7-1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Pr="00016260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016260" w:rsidRDefault="00016260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lastRenderedPageBreak/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8271E8">
        <w:rPr>
          <w:rFonts w:ascii="Arial" w:hAnsi="Arial" w:cs="Arial"/>
          <w:sz w:val="22"/>
          <w:szCs w:val="22"/>
        </w:rPr>
        <w:t xml:space="preserve">Mgr. </w:t>
      </w:r>
      <w:r w:rsidR="003D420C">
        <w:rPr>
          <w:rFonts w:ascii="Arial" w:hAnsi="Arial" w:cs="Arial"/>
          <w:sz w:val="22"/>
          <w:szCs w:val="22"/>
        </w:rPr>
        <w:t>Karel Halla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3D420C">
        <w:rPr>
          <w:rFonts w:ascii="Arial" w:hAnsi="Arial" w:cs="Arial"/>
          <w:sz w:val="22"/>
          <w:szCs w:val="22"/>
        </w:rPr>
        <w:t>605 247 442</w:t>
      </w:r>
      <w:r w:rsidR="0098526C">
        <w:rPr>
          <w:rFonts w:ascii="Arial" w:hAnsi="Arial" w:cs="Arial"/>
          <w:sz w:val="22"/>
          <w:szCs w:val="22"/>
        </w:rPr>
        <w:t xml:space="preserve">)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3D420C">
        <w:rPr>
          <w:rFonts w:ascii="Arial" w:hAnsi="Arial" w:cs="Arial"/>
          <w:sz w:val="22"/>
          <w:szCs w:val="22"/>
        </w:rPr>
        <w:t>František Eschler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3D420C">
        <w:rPr>
          <w:rFonts w:ascii="Arial" w:hAnsi="Arial" w:cs="Arial"/>
          <w:sz w:val="22"/>
          <w:szCs w:val="22"/>
        </w:rPr>
        <w:t>605 247 518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poskytne objednateli záruku na provedení díla po dobu 60 měsíců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dnů po písemném uplatnění reklamace objednatelem a vady </w:t>
      </w:r>
      <w:r w:rsidRPr="0013039B">
        <w:rPr>
          <w:rFonts w:ascii="Arial" w:hAnsi="Arial" w:cs="Arial"/>
          <w:color w:val="000000"/>
          <w:sz w:val="22"/>
          <w:szCs w:val="22"/>
        </w:rPr>
        <w:lastRenderedPageBreak/>
        <w:t>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 jejím zjištění písemnou formou.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á třetí osoba 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9263B7" w:rsidRPr="0013039B" w:rsidRDefault="009263B7">
      <w:pPr>
        <w:pStyle w:val="Zkladntextodsazen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Zaplacením smluvní pokuty není dotčeno právo smluvních stran na náhradu škody způsobené druhou smluvní stranou a to v částce převyšující smluvní pokutu.</w:t>
      </w:r>
    </w:p>
    <w:p w:rsidR="009263B7" w:rsidRPr="0013039B" w:rsidRDefault="009263B7">
      <w:pPr>
        <w:pStyle w:val="Zkladntextodsazen21"/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 cenovou kalkulací.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osobě, po možném finančním vyrovnání se zhotovitelem stavby. O výše uvedeném možném vyrovnání bude proveden zápis.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 xml:space="preserve">Tato smlouva se vyhotovuje ve dvou vyhotoveních s platností originálu, z nichž jedno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>č. 1 – Stavební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4137D3">
        <w:rPr>
          <w:rFonts w:ascii="Arial" w:hAnsi="Arial" w:cs="Arial"/>
          <w:sz w:val="22"/>
          <w:szCs w:val="22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AD4688">
      <w:footerReference w:type="default" r:id="rId8"/>
      <w:pgSz w:w="11906" w:h="16838"/>
      <w:pgMar w:top="1417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01" w:rsidRDefault="00924301">
      <w:r>
        <w:separator/>
      </w:r>
    </w:p>
  </w:endnote>
  <w:endnote w:type="continuationSeparator" w:id="0">
    <w:p w:rsidR="00924301" w:rsidRDefault="0092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6" w:rsidRPr="00AD4688" w:rsidRDefault="000C2EB6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227E58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0C2EB6" w:rsidRPr="00AD4688" w:rsidRDefault="000C2EB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01" w:rsidRDefault="00924301">
      <w:r>
        <w:separator/>
      </w:r>
    </w:p>
  </w:footnote>
  <w:footnote w:type="continuationSeparator" w:id="0">
    <w:p w:rsidR="00924301" w:rsidRDefault="0092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37FE"/>
    <w:rsid w:val="00016260"/>
    <w:rsid w:val="00072BD3"/>
    <w:rsid w:val="000810BB"/>
    <w:rsid w:val="000C2EB6"/>
    <w:rsid w:val="000C3C4D"/>
    <w:rsid w:val="000D10B9"/>
    <w:rsid w:val="000D5CE6"/>
    <w:rsid w:val="001009EB"/>
    <w:rsid w:val="0010672D"/>
    <w:rsid w:val="0013039B"/>
    <w:rsid w:val="00163444"/>
    <w:rsid w:val="00181741"/>
    <w:rsid w:val="00195836"/>
    <w:rsid w:val="001B0340"/>
    <w:rsid w:val="001B381E"/>
    <w:rsid w:val="001D1920"/>
    <w:rsid w:val="00227E58"/>
    <w:rsid w:val="002331CC"/>
    <w:rsid w:val="00253888"/>
    <w:rsid w:val="00285D8D"/>
    <w:rsid w:val="002942BA"/>
    <w:rsid w:val="00294ECD"/>
    <w:rsid w:val="002B4AB5"/>
    <w:rsid w:val="002E15DC"/>
    <w:rsid w:val="002E306C"/>
    <w:rsid w:val="00300084"/>
    <w:rsid w:val="003037CF"/>
    <w:rsid w:val="00314854"/>
    <w:rsid w:val="00347746"/>
    <w:rsid w:val="0038273C"/>
    <w:rsid w:val="00390316"/>
    <w:rsid w:val="003916DE"/>
    <w:rsid w:val="003C4202"/>
    <w:rsid w:val="003D30EF"/>
    <w:rsid w:val="003D420C"/>
    <w:rsid w:val="004079A6"/>
    <w:rsid w:val="004137D3"/>
    <w:rsid w:val="00432E34"/>
    <w:rsid w:val="004545EC"/>
    <w:rsid w:val="0045785E"/>
    <w:rsid w:val="00475689"/>
    <w:rsid w:val="004965CB"/>
    <w:rsid w:val="004B60A6"/>
    <w:rsid w:val="00506355"/>
    <w:rsid w:val="005353C3"/>
    <w:rsid w:val="005648FD"/>
    <w:rsid w:val="00584FF0"/>
    <w:rsid w:val="005A7B93"/>
    <w:rsid w:val="005B4B3E"/>
    <w:rsid w:val="005E3A24"/>
    <w:rsid w:val="005E7360"/>
    <w:rsid w:val="006501C6"/>
    <w:rsid w:val="0069531E"/>
    <w:rsid w:val="006C4ECD"/>
    <w:rsid w:val="006C7D50"/>
    <w:rsid w:val="006F57B9"/>
    <w:rsid w:val="00742FFD"/>
    <w:rsid w:val="007431B2"/>
    <w:rsid w:val="00745ED1"/>
    <w:rsid w:val="007A37C2"/>
    <w:rsid w:val="007C20FC"/>
    <w:rsid w:val="008271E8"/>
    <w:rsid w:val="008359BF"/>
    <w:rsid w:val="00896CC4"/>
    <w:rsid w:val="008C15F0"/>
    <w:rsid w:val="008C1C40"/>
    <w:rsid w:val="008E5020"/>
    <w:rsid w:val="009076B1"/>
    <w:rsid w:val="00913511"/>
    <w:rsid w:val="00924301"/>
    <w:rsid w:val="009263B7"/>
    <w:rsid w:val="00951702"/>
    <w:rsid w:val="00961A33"/>
    <w:rsid w:val="0098114F"/>
    <w:rsid w:val="0098526C"/>
    <w:rsid w:val="00985BE9"/>
    <w:rsid w:val="009A25F8"/>
    <w:rsid w:val="009A630E"/>
    <w:rsid w:val="009E7DC0"/>
    <w:rsid w:val="009F29C9"/>
    <w:rsid w:val="009F34EE"/>
    <w:rsid w:val="00A54BF9"/>
    <w:rsid w:val="00A909F6"/>
    <w:rsid w:val="00AD4688"/>
    <w:rsid w:val="00B01F16"/>
    <w:rsid w:val="00B02DC2"/>
    <w:rsid w:val="00B044D7"/>
    <w:rsid w:val="00B1345B"/>
    <w:rsid w:val="00B31663"/>
    <w:rsid w:val="00B374AB"/>
    <w:rsid w:val="00B43E9F"/>
    <w:rsid w:val="00B62AF1"/>
    <w:rsid w:val="00B63122"/>
    <w:rsid w:val="00B74715"/>
    <w:rsid w:val="00B75319"/>
    <w:rsid w:val="00B912B7"/>
    <w:rsid w:val="00BA30E8"/>
    <w:rsid w:val="00BA4BF9"/>
    <w:rsid w:val="00BD724E"/>
    <w:rsid w:val="00C07648"/>
    <w:rsid w:val="00C12146"/>
    <w:rsid w:val="00C5260E"/>
    <w:rsid w:val="00C73F7E"/>
    <w:rsid w:val="00C9569E"/>
    <w:rsid w:val="00CC056E"/>
    <w:rsid w:val="00CC34E2"/>
    <w:rsid w:val="00CE5A49"/>
    <w:rsid w:val="00D151AA"/>
    <w:rsid w:val="00D32FED"/>
    <w:rsid w:val="00D44E6F"/>
    <w:rsid w:val="00D52098"/>
    <w:rsid w:val="00D64C5D"/>
    <w:rsid w:val="00D951A8"/>
    <w:rsid w:val="00DB75B9"/>
    <w:rsid w:val="00DC1F9D"/>
    <w:rsid w:val="00DC3E44"/>
    <w:rsid w:val="00DC5AE8"/>
    <w:rsid w:val="00E07250"/>
    <w:rsid w:val="00E9713E"/>
    <w:rsid w:val="00EB67E3"/>
    <w:rsid w:val="00EB6989"/>
    <w:rsid w:val="00EE1C10"/>
    <w:rsid w:val="00F0291C"/>
    <w:rsid w:val="00F144FD"/>
    <w:rsid w:val="00F42737"/>
    <w:rsid w:val="00F5016A"/>
    <w:rsid w:val="00F61366"/>
    <w:rsid w:val="00F7173D"/>
    <w:rsid w:val="00F87B8F"/>
    <w:rsid w:val="00FA1B06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2016-09-13T06:46:00Z</cp:lastPrinted>
  <dcterms:created xsi:type="dcterms:W3CDTF">2016-09-13T15:59:00Z</dcterms:created>
  <dcterms:modified xsi:type="dcterms:W3CDTF">2016-09-13T15:59:00Z</dcterms:modified>
</cp:coreProperties>
</file>