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Pr="0013039B" w:rsidRDefault="009263B7">
      <w:pPr>
        <w:pStyle w:val="Nzev"/>
        <w:rPr>
          <w:rFonts w:ascii="Arial" w:hAnsi="Arial" w:cs="Arial"/>
          <w:color w:val="000000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DF7492" w:rsidRDefault="00DF7492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D5320E">
        <w:rPr>
          <w:rFonts w:ascii="Arial" w:hAnsi="Arial" w:cs="Arial"/>
          <w:b/>
          <w:color w:val="000000"/>
          <w:sz w:val="22"/>
          <w:szCs w:val="22"/>
        </w:rPr>
        <w:t>Plynofikace objektu Státního okresního archivu Rokycany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projektové dokumentace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D5320E">
        <w:rPr>
          <w:rFonts w:ascii="Arial" w:hAnsi="Arial" w:cs="Arial"/>
          <w:color w:val="000000"/>
          <w:sz w:val="22"/>
          <w:szCs w:val="22"/>
        </w:rPr>
        <w:t>Ing. Michalem Filipem, E. Beneše 44, Plzeň v srpnu 2016</w:t>
      </w:r>
      <w:r w:rsidR="00FA1B06">
        <w:rPr>
          <w:rFonts w:ascii="Arial" w:hAnsi="Arial" w:cs="Arial"/>
          <w:color w:val="000000"/>
          <w:sz w:val="22"/>
          <w:szCs w:val="22"/>
        </w:rPr>
        <w:t>,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43BB" w:rsidRDefault="00B843BB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 díla (stavba) bude proveden za dodržení stanovených podmínek pro provedení stavby dle stavebního povolení, vydaného MěÚ Rokycany pod č.j. MeRo/6410/OST/16 Bas (dále jen stavební povolení) které je </w:t>
      </w:r>
      <w:r w:rsidR="00B72C68">
        <w:rPr>
          <w:rFonts w:ascii="Arial" w:hAnsi="Arial" w:cs="Arial"/>
          <w:color w:val="000000"/>
          <w:sz w:val="22"/>
          <w:szCs w:val="22"/>
        </w:rPr>
        <w:t>součástí zadávací dokumentace k veřejné zakázce ze dne 8.2.2017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D5320E" w:rsidRPr="00C26184" w:rsidRDefault="00D5320E" w:rsidP="00D5320E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320E">
        <w:rPr>
          <w:rFonts w:ascii="Arial" w:hAnsi="Arial" w:cs="Arial"/>
          <w:sz w:val="22"/>
          <w:szCs w:val="22"/>
        </w:rPr>
        <w:t>Předmětem díla je dále zpracování dokumentace skutečného provedení stavby ve dvou vyhotoveních v tištěné podobě a v jednom vyhotovení na cd, textová část ve formátu word a výkresy ve formátu pdf. Rozsah a obsah dokumentace skutečného provedení stavby bude zpracován podle Přílohy č. 7 k vyhlášce č. 499/2006 Sb., o dokumentaci staveb, v</w:t>
      </w:r>
      <w:r w:rsidR="009F2FCE">
        <w:rPr>
          <w:rFonts w:ascii="Arial" w:hAnsi="Arial" w:cs="Arial"/>
          <w:sz w:val="22"/>
          <w:szCs w:val="22"/>
        </w:rPr>
        <w:t>e znění pozdějších předpisů</w:t>
      </w:r>
      <w:r w:rsidRPr="00D5320E">
        <w:rPr>
          <w:rFonts w:ascii="Arial" w:hAnsi="Arial" w:cs="Arial"/>
          <w:sz w:val="22"/>
          <w:szCs w:val="22"/>
        </w:rPr>
        <w:t xml:space="preserve">. </w:t>
      </w:r>
    </w:p>
    <w:p w:rsidR="00C26184" w:rsidRPr="00D5320E" w:rsidRDefault="00C26184" w:rsidP="00D5320E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předmětu plnění je </w:t>
      </w:r>
      <w:r w:rsidR="008E472B">
        <w:rPr>
          <w:rFonts w:ascii="Arial" w:hAnsi="Arial" w:cs="Arial"/>
          <w:sz w:val="22"/>
          <w:szCs w:val="22"/>
        </w:rPr>
        <w:t>doložení</w:t>
      </w:r>
      <w:r>
        <w:rPr>
          <w:rFonts w:ascii="Arial" w:hAnsi="Arial" w:cs="Arial"/>
          <w:sz w:val="22"/>
          <w:szCs w:val="22"/>
        </w:rPr>
        <w:t xml:space="preserve"> závazného souhlasného stanoviska Hasičského záchranného sboru Plzeňského kraje </w:t>
      </w:r>
      <w:r w:rsidR="008E472B">
        <w:rPr>
          <w:rFonts w:ascii="Arial" w:hAnsi="Arial" w:cs="Arial"/>
          <w:sz w:val="22"/>
          <w:szCs w:val="22"/>
        </w:rPr>
        <w:t xml:space="preserve">k dokončené stavbě </w:t>
      </w:r>
      <w:r>
        <w:rPr>
          <w:rFonts w:ascii="Arial" w:hAnsi="Arial" w:cs="Arial"/>
          <w:sz w:val="22"/>
          <w:szCs w:val="22"/>
        </w:rPr>
        <w:t>v souladu</w:t>
      </w:r>
      <w:r w:rsidR="00D45F57">
        <w:rPr>
          <w:rFonts w:ascii="Arial" w:hAnsi="Arial" w:cs="Arial"/>
          <w:sz w:val="22"/>
          <w:szCs w:val="22"/>
        </w:rPr>
        <w:t xml:space="preserve"> s bodem 21 stavebního povolení</w:t>
      </w:r>
      <w:r>
        <w:rPr>
          <w:rFonts w:ascii="Arial" w:hAnsi="Arial" w:cs="Arial"/>
          <w:sz w:val="22"/>
          <w:szCs w:val="22"/>
        </w:rPr>
        <w:t xml:space="preserve">. Objednatel se zavazuje poskytnout </w:t>
      </w:r>
      <w:r w:rsidR="00BB6DAA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při obstarání souhlasného stanoviska nezbytnou součinnost. 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stavby, projektovou dokumentaci skutečného provedení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,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souhlasné závazné stanovisko Hasičského záchranného sboru a doklady podle bodu </w:t>
      </w:r>
      <w:r w:rsidR="00B843BB">
        <w:rPr>
          <w:rFonts w:ascii="Arial" w:hAnsi="Arial" w:cs="Arial"/>
          <w:color w:val="000000"/>
          <w:sz w:val="22"/>
          <w:szCs w:val="22"/>
        </w:rPr>
        <w:t>8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5456FC" w:rsidRDefault="005456FC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přejímce díla dále zhotovitel předá průběžnou evidenci všech odpadů vzniklých při provádění díla a doklady o způsobech jejich dalšího využití nebo likvidaci v souladu se stanoviskem Odboru ŽP, které je obsaženo v dokladové části projektové dokumentace.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D5320E">
        <w:rPr>
          <w:rFonts w:ascii="Arial" w:hAnsi="Arial" w:cs="Arial"/>
          <w:sz w:val="22"/>
          <w:szCs w:val="22"/>
        </w:rPr>
        <w:t>Plynofikace objektu Státního okresního archivu Rokycany</w:t>
      </w:r>
      <w:r>
        <w:rPr>
          <w:rFonts w:ascii="Arial" w:hAnsi="Arial" w:cs="Arial"/>
          <w:sz w:val="22"/>
          <w:szCs w:val="22"/>
        </w:rPr>
        <w:t xml:space="preserve">“ ze dne </w:t>
      </w:r>
      <w:r w:rsidR="005456FC">
        <w:rPr>
          <w:rFonts w:ascii="Arial" w:hAnsi="Arial" w:cs="Arial"/>
          <w:sz w:val="22"/>
          <w:szCs w:val="22"/>
        </w:rPr>
        <w:t>8.2.2017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BB0F09" w:rsidRDefault="00BB0F09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Projektová dokumentace </w:t>
      </w:r>
      <w:r w:rsidR="00016260">
        <w:rPr>
          <w:rFonts w:ascii="Arial" w:hAnsi="Arial" w:cs="Arial"/>
          <w:sz w:val="22"/>
          <w:szCs w:val="22"/>
        </w:rPr>
        <w:t>pro provádění stavby</w:t>
      </w:r>
      <w:r>
        <w:rPr>
          <w:rFonts w:ascii="Arial" w:hAnsi="Arial" w:cs="Arial"/>
          <w:sz w:val="22"/>
          <w:szCs w:val="22"/>
        </w:rPr>
        <w:t xml:space="preserve"> zpracovaná </w:t>
      </w:r>
      <w:r w:rsidR="00016260">
        <w:rPr>
          <w:rFonts w:ascii="Arial" w:hAnsi="Arial" w:cs="Arial"/>
          <w:sz w:val="22"/>
          <w:szCs w:val="22"/>
        </w:rPr>
        <w:t xml:space="preserve">projekční firmou </w:t>
      </w:r>
      <w:r w:rsidR="00D5320E">
        <w:rPr>
          <w:rFonts w:ascii="Arial" w:hAnsi="Arial" w:cs="Arial"/>
          <w:sz w:val="22"/>
          <w:szCs w:val="22"/>
        </w:rPr>
        <w:t>Ing. Michal Filip, E. Beneše 42</w:t>
      </w:r>
      <w:r w:rsidR="00016260">
        <w:rPr>
          <w:rFonts w:ascii="Arial" w:hAnsi="Arial" w:cs="Arial"/>
          <w:sz w:val="22"/>
          <w:szCs w:val="22"/>
        </w:rPr>
        <w:t>, Plzeň</w:t>
      </w:r>
      <w:r>
        <w:rPr>
          <w:rFonts w:ascii="Arial" w:hAnsi="Arial" w:cs="Arial"/>
          <w:sz w:val="22"/>
          <w:szCs w:val="22"/>
        </w:rPr>
        <w:t xml:space="preserve"> </w:t>
      </w:r>
      <w:r w:rsidR="00E9713E">
        <w:rPr>
          <w:rFonts w:ascii="Arial" w:hAnsi="Arial" w:cs="Arial"/>
          <w:sz w:val="22"/>
          <w:szCs w:val="22"/>
        </w:rPr>
        <w:t>v </w:t>
      </w:r>
      <w:r w:rsidR="00D5320E">
        <w:rPr>
          <w:rFonts w:ascii="Arial" w:hAnsi="Arial" w:cs="Arial"/>
          <w:sz w:val="22"/>
          <w:szCs w:val="22"/>
        </w:rPr>
        <w:t>srpnu</w:t>
      </w:r>
      <w:r w:rsidR="00E9713E">
        <w:rPr>
          <w:rFonts w:ascii="Arial" w:hAnsi="Arial" w:cs="Arial"/>
          <w:sz w:val="22"/>
          <w:szCs w:val="22"/>
        </w:rPr>
        <w:t xml:space="preserve"> 201</w:t>
      </w:r>
      <w:r w:rsidR="00016260">
        <w:rPr>
          <w:rFonts w:ascii="Arial" w:hAnsi="Arial" w:cs="Arial"/>
          <w:sz w:val="22"/>
          <w:szCs w:val="22"/>
        </w:rPr>
        <w:t>6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uvedené v položkovém rozpočtu jsou pevné po celou dobu realizace díla. </w:t>
      </w:r>
    </w:p>
    <w:p w:rsidR="0065114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DF7492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DF7492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 w:rsidR="00016260">
        <w:rPr>
          <w:rFonts w:ascii="Arial" w:hAnsi="Arial" w:cs="Arial"/>
          <w:b w:val="0"/>
          <w:bCs w:val="0"/>
          <w:sz w:val="22"/>
          <w:szCs w:val="22"/>
          <w:lang w:val="cs-CZ"/>
        </w:rPr>
        <w:t>od data podpisu smlouvy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F866EF" w:rsidRPr="006C764F">
        <w:rPr>
          <w:rFonts w:ascii="Arial" w:hAnsi="Arial" w:cs="Arial"/>
          <w:sz w:val="22"/>
          <w:szCs w:val="22"/>
        </w:rPr>
        <w:t>31</w:t>
      </w:r>
      <w:r w:rsidR="00745ED1" w:rsidRPr="006C764F">
        <w:rPr>
          <w:rFonts w:ascii="Arial" w:hAnsi="Arial" w:cs="Arial"/>
          <w:sz w:val="22"/>
          <w:szCs w:val="22"/>
        </w:rPr>
        <w:t>.</w:t>
      </w:r>
      <w:r w:rsidR="00F866EF" w:rsidRPr="006C764F">
        <w:rPr>
          <w:rFonts w:ascii="Arial" w:hAnsi="Arial" w:cs="Arial"/>
          <w:sz w:val="22"/>
          <w:szCs w:val="22"/>
        </w:rPr>
        <w:t>8</w:t>
      </w:r>
      <w:r w:rsidR="00745ED1" w:rsidRPr="006C764F">
        <w:rPr>
          <w:rFonts w:ascii="Arial" w:hAnsi="Arial" w:cs="Arial"/>
          <w:sz w:val="22"/>
          <w:szCs w:val="22"/>
        </w:rPr>
        <w:t>.201</w:t>
      </w:r>
      <w:r w:rsidR="00C66A4E" w:rsidRPr="006C764F">
        <w:rPr>
          <w:rFonts w:ascii="Arial" w:hAnsi="Arial" w:cs="Arial"/>
          <w:sz w:val="22"/>
          <w:szCs w:val="22"/>
        </w:rPr>
        <w:t>7</w:t>
      </w:r>
      <w:r w:rsidR="00745ED1" w:rsidRPr="006C764F">
        <w:rPr>
          <w:rFonts w:ascii="Arial" w:hAnsi="Arial" w:cs="Arial"/>
          <w:sz w:val="22"/>
          <w:szCs w:val="22"/>
        </w:rPr>
        <w:t>.</w:t>
      </w:r>
      <w:r w:rsidR="00F866EF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Rokycany, Jeřabinová č.p. 1044, Rokycany.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„Plynofikace objektu Státního okresního archivu Rokycany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6C764F">
        <w:rPr>
          <w:rFonts w:ascii="Arial" w:hAnsi="Arial" w:cs="Arial"/>
          <w:color w:val="000000"/>
          <w:sz w:val="22"/>
          <w:szCs w:val="22"/>
        </w:rPr>
        <w:t>8</w:t>
      </w:r>
      <w:r w:rsidR="007A37C2" w:rsidRPr="006C764F">
        <w:rPr>
          <w:rFonts w:ascii="Arial" w:hAnsi="Arial" w:cs="Arial"/>
          <w:color w:val="000000"/>
          <w:sz w:val="22"/>
          <w:szCs w:val="22"/>
        </w:rPr>
        <w:t>.</w:t>
      </w:r>
      <w:r w:rsidR="006C764F">
        <w:rPr>
          <w:rFonts w:ascii="Arial" w:hAnsi="Arial" w:cs="Arial"/>
          <w:color w:val="000000"/>
          <w:sz w:val="22"/>
          <w:szCs w:val="22"/>
        </w:rPr>
        <w:t>2</w:t>
      </w:r>
      <w:r w:rsidR="007A37C2" w:rsidRPr="006C764F">
        <w:rPr>
          <w:rFonts w:ascii="Arial" w:hAnsi="Arial" w:cs="Arial"/>
          <w:color w:val="000000"/>
          <w:sz w:val="22"/>
          <w:szCs w:val="22"/>
        </w:rPr>
        <w:t>.201</w:t>
      </w:r>
      <w:r w:rsidR="00C66A4E" w:rsidRPr="006C764F">
        <w:rPr>
          <w:rFonts w:ascii="Arial" w:hAnsi="Arial" w:cs="Arial"/>
          <w:color w:val="000000"/>
          <w:sz w:val="22"/>
          <w:szCs w:val="22"/>
        </w:rPr>
        <w:t>7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p</w:t>
      </w:r>
      <w:r w:rsidR="00B75319">
        <w:rPr>
          <w:rFonts w:ascii="Arial" w:hAnsi="Arial" w:cs="Arial"/>
          <w:color w:val="000000"/>
          <w:sz w:val="22"/>
          <w:szCs w:val="22"/>
        </w:rPr>
        <w:t>rojektová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dokumentace</w:t>
      </w:r>
      <w:r w:rsidR="00B7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včetně 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>položkového soupisu prací, zpracovan</w:t>
      </w:r>
      <w:r w:rsidR="000D5CE6">
        <w:rPr>
          <w:rFonts w:ascii="Arial" w:hAnsi="Arial" w:cs="Arial"/>
          <w:color w:val="000000"/>
          <w:sz w:val="22"/>
          <w:szCs w:val="22"/>
        </w:rPr>
        <w:t>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 xml:space="preserve">firmou </w:t>
      </w:r>
      <w:r w:rsidR="001C6EE6">
        <w:rPr>
          <w:rFonts w:ascii="Arial" w:hAnsi="Arial" w:cs="Arial"/>
          <w:color w:val="000000"/>
          <w:sz w:val="22"/>
          <w:szCs w:val="22"/>
        </w:rPr>
        <w:t xml:space="preserve">Ing. Michal Filip, E. Beneše 42, Plzeň </w:t>
      </w:r>
      <w:r w:rsidR="00D44E6F">
        <w:rPr>
          <w:rFonts w:ascii="Arial" w:hAnsi="Arial" w:cs="Arial"/>
          <w:color w:val="000000"/>
          <w:sz w:val="22"/>
          <w:szCs w:val="22"/>
        </w:rPr>
        <w:t>v </w:t>
      </w:r>
      <w:r w:rsidR="001C6EE6">
        <w:rPr>
          <w:rFonts w:ascii="Arial" w:hAnsi="Arial" w:cs="Arial"/>
          <w:color w:val="000000"/>
          <w:sz w:val="22"/>
          <w:szCs w:val="22"/>
        </w:rPr>
        <w:t>8</w:t>
      </w:r>
      <w:r w:rsidR="00D44E6F">
        <w:rPr>
          <w:rFonts w:ascii="Arial" w:hAnsi="Arial" w:cs="Arial"/>
          <w:color w:val="000000"/>
          <w:sz w:val="22"/>
          <w:szCs w:val="22"/>
        </w:rPr>
        <w:t>/201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EE1C10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1C6EE6">
        <w:rPr>
          <w:rFonts w:ascii="Arial" w:hAnsi="Arial" w:cs="Arial"/>
          <w:color w:val="000000"/>
          <w:sz w:val="22"/>
          <w:szCs w:val="22"/>
        </w:rPr>
        <w:t>7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6 </w:t>
      </w:r>
      <w:r w:rsidRPr="003C4202">
        <w:rPr>
          <w:rFonts w:ascii="Arial" w:hAnsi="Arial" w:cs="Arial"/>
          <w:sz w:val="22"/>
          <w:szCs w:val="22"/>
        </w:rPr>
        <w:t>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072BD3" w:rsidRPr="0013039B" w:rsidRDefault="00072BD3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 zajistit v souladu s projektovou dokumentací pro provádění stavby před zahájením stavebních prací vytýčení stávajících sítí technické infrastruktury, a to na vlastní náklady zhotovitele. 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PhDr.</w:t>
      </w:r>
      <w:r w:rsidR="008271E8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Hana Hrachová, Ph.D.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605 247 524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7B4C" w:rsidRPr="0013039B" w:rsidRDefault="00447B4C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E46E67">
        <w:rPr>
          <w:rFonts w:ascii="Arial" w:hAnsi="Arial" w:cs="Arial"/>
          <w:color w:val="000000"/>
          <w:sz w:val="22"/>
          <w:szCs w:val="22"/>
        </w:rPr>
        <w:t> projektovou dokumentací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5F" w:rsidRDefault="0093425F">
      <w:r>
        <w:separator/>
      </w:r>
    </w:p>
  </w:endnote>
  <w:endnote w:type="continuationSeparator" w:id="0">
    <w:p w:rsidR="0093425F" w:rsidRDefault="0093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68" w:rsidRPr="00AD4688" w:rsidRDefault="00B72C68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040F3B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B72C68" w:rsidRPr="00AD4688" w:rsidRDefault="00B72C68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5F" w:rsidRDefault="0093425F">
      <w:r>
        <w:separator/>
      </w:r>
    </w:p>
  </w:footnote>
  <w:footnote w:type="continuationSeparator" w:id="0">
    <w:p w:rsidR="0093425F" w:rsidRDefault="0093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0E58"/>
    <w:rsid w:val="00011901"/>
    <w:rsid w:val="00016260"/>
    <w:rsid w:val="00040F3B"/>
    <w:rsid w:val="00072BD3"/>
    <w:rsid w:val="000810BB"/>
    <w:rsid w:val="000A1AB5"/>
    <w:rsid w:val="000C3C4D"/>
    <w:rsid w:val="000D10B9"/>
    <w:rsid w:val="000D5CE6"/>
    <w:rsid w:val="001009EB"/>
    <w:rsid w:val="0010672D"/>
    <w:rsid w:val="0013039B"/>
    <w:rsid w:val="00163444"/>
    <w:rsid w:val="00174F04"/>
    <w:rsid w:val="00181741"/>
    <w:rsid w:val="00195836"/>
    <w:rsid w:val="001B0340"/>
    <w:rsid w:val="001B381E"/>
    <w:rsid w:val="001C6EE6"/>
    <w:rsid w:val="001D1920"/>
    <w:rsid w:val="002331CC"/>
    <w:rsid w:val="00253888"/>
    <w:rsid w:val="00285D8D"/>
    <w:rsid w:val="002942BA"/>
    <w:rsid w:val="00294ECD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4202"/>
    <w:rsid w:val="003D30EF"/>
    <w:rsid w:val="003D6EAF"/>
    <w:rsid w:val="004137D3"/>
    <w:rsid w:val="00432E34"/>
    <w:rsid w:val="00447B4C"/>
    <w:rsid w:val="004538AC"/>
    <w:rsid w:val="004545EC"/>
    <w:rsid w:val="0045785E"/>
    <w:rsid w:val="00475689"/>
    <w:rsid w:val="004965CB"/>
    <w:rsid w:val="004B60A6"/>
    <w:rsid w:val="00506355"/>
    <w:rsid w:val="005246E0"/>
    <w:rsid w:val="005353C3"/>
    <w:rsid w:val="005456FC"/>
    <w:rsid w:val="005648FD"/>
    <w:rsid w:val="00576DB4"/>
    <w:rsid w:val="00584FF0"/>
    <w:rsid w:val="005A1316"/>
    <w:rsid w:val="005A7B93"/>
    <w:rsid w:val="005B4B3E"/>
    <w:rsid w:val="005C5869"/>
    <w:rsid w:val="005E7360"/>
    <w:rsid w:val="006501C6"/>
    <w:rsid w:val="00651144"/>
    <w:rsid w:val="0069531E"/>
    <w:rsid w:val="006A6B32"/>
    <w:rsid w:val="006B3761"/>
    <w:rsid w:val="006C4ECD"/>
    <w:rsid w:val="006C764F"/>
    <w:rsid w:val="006C7D50"/>
    <w:rsid w:val="006F57B9"/>
    <w:rsid w:val="007352EF"/>
    <w:rsid w:val="00742FFD"/>
    <w:rsid w:val="007431B2"/>
    <w:rsid w:val="00745ED1"/>
    <w:rsid w:val="007A37C2"/>
    <w:rsid w:val="007C20FC"/>
    <w:rsid w:val="008271E8"/>
    <w:rsid w:val="008359BF"/>
    <w:rsid w:val="00837BA0"/>
    <w:rsid w:val="00896CC4"/>
    <w:rsid w:val="008C15F0"/>
    <w:rsid w:val="008C1C40"/>
    <w:rsid w:val="008E472B"/>
    <w:rsid w:val="008E5020"/>
    <w:rsid w:val="00900BFF"/>
    <w:rsid w:val="00913511"/>
    <w:rsid w:val="0091672C"/>
    <w:rsid w:val="009263B7"/>
    <w:rsid w:val="0093425F"/>
    <w:rsid w:val="00951702"/>
    <w:rsid w:val="00961A33"/>
    <w:rsid w:val="0098114F"/>
    <w:rsid w:val="0098526C"/>
    <w:rsid w:val="00985BE9"/>
    <w:rsid w:val="009A25F8"/>
    <w:rsid w:val="009A630E"/>
    <w:rsid w:val="009F29C9"/>
    <w:rsid w:val="009F2FCE"/>
    <w:rsid w:val="009F34EE"/>
    <w:rsid w:val="00A54BF9"/>
    <w:rsid w:val="00A806DB"/>
    <w:rsid w:val="00A909F6"/>
    <w:rsid w:val="00AC667C"/>
    <w:rsid w:val="00AD4688"/>
    <w:rsid w:val="00B017E1"/>
    <w:rsid w:val="00B02DC2"/>
    <w:rsid w:val="00B044D7"/>
    <w:rsid w:val="00B31663"/>
    <w:rsid w:val="00B374AB"/>
    <w:rsid w:val="00B43E9F"/>
    <w:rsid w:val="00B500B6"/>
    <w:rsid w:val="00B62AF1"/>
    <w:rsid w:val="00B72C68"/>
    <w:rsid w:val="00B74715"/>
    <w:rsid w:val="00B75319"/>
    <w:rsid w:val="00B843BB"/>
    <w:rsid w:val="00B8562C"/>
    <w:rsid w:val="00BA30E8"/>
    <w:rsid w:val="00BA4BF9"/>
    <w:rsid w:val="00BB0F09"/>
    <w:rsid w:val="00BB6DAA"/>
    <w:rsid w:val="00BD724E"/>
    <w:rsid w:val="00BF6B74"/>
    <w:rsid w:val="00C07648"/>
    <w:rsid w:val="00C12146"/>
    <w:rsid w:val="00C26184"/>
    <w:rsid w:val="00C5260E"/>
    <w:rsid w:val="00C66A4E"/>
    <w:rsid w:val="00C73F7E"/>
    <w:rsid w:val="00C9569E"/>
    <w:rsid w:val="00CC056E"/>
    <w:rsid w:val="00CC34E2"/>
    <w:rsid w:val="00CD728D"/>
    <w:rsid w:val="00D151AA"/>
    <w:rsid w:val="00D32FED"/>
    <w:rsid w:val="00D34D72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AE8"/>
    <w:rsid w:val="00DF7492"/>
    <w:rsid w:val="00E0254E"/>
    <w:rsid w:val="00E04748"/>
    <w:rsid w:val="00E46E67"/>
    <w:rsid w:val="00E66BB4"/>
    <w:rsid w:val="00E9713E"/>
    <w:rsid w:val="00EB67E3"/>
    <w:rsid w:val="00EB6989"/>
    <w:rsid w:val="00EE1C10"/>
    <w:rsid w:val="00F0291C"/>
    <w:rsid w:val="00F0571C"/>
    <w:rsid w:val="00F144FD"/>
    <w:rsid w:val="00F42737"/>
    <w:rsid w:val="00F47CF8"/>
    <w:rsid w:val="00F5016A"/>
    <w:rsid w:val="00F61366"/>
    <w:rsid w:val="00F7173D"/>
    <w:rsid w:val="00F866EF"/>
    <w:rsid w:val="00F87B8F"/>
    <w:rsid w:val="00FA1B06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2754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2017-02-06T09:14:00Z</cp:lastPrinted>
  <dcterms:created xsi:type="dcterms:W3CDTF">2017-02-09T10:17:00Z</dcterms:created>
  <dcterms:modified xsi:type="dcterms:W3CDTF">2017-02-09T10:17:00Z</dcterms:modified>
</cp:coreProperties>
</file>