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3B7" w:rsidRPr="0013039B" w:rsidRDefault="009263B7">
      <w:pPr>
        <w:pStyle w:val="Nzev"/>
        <w:rPr>
          <w:rFonts w:ascii="Arial" w:hAnsi="Arial" w:cs="Arial"/>
          <w:color w:val="000000"/>
        </w:rPr>
      </w:pPr>
      <w:bookmarkStart w:id="0" w:name="_GoBack"/>
      <w:bookmarkEnd w:id="0"/>
      <w:r w:rsidRPr="0013039B">
        <w:rPr>
          <w:rFonts w:ascii="Arial" w:hAnsi="Arial" w:cs="Arial"/>
          <w:color w:val="000000"/>
        </w:rPr>
        <w:t>S M L O U V A    O    D Í L O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pStyle w:val="Nadpis1"/>
        <w:pBdr>
          <w:bottom w:val="single" w:sz="4" w:space="1" w:color="000000"/>
        </w:pBdr>
        <w:rPr>
          <w:rFonts w:ascii="Arial" w:hAnsi="Arial" w:cs="Arial"/>
          <w:caps/>
          <w:color w:val="FF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13039B" w:rsidRDefault="009263B7"/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179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46" w:rsidRDefault="00B02D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 w:rsidR="00C1214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9263B7" w:rsidRPr="0013039B" w:rsidRDefault="00C121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EB" w:rsidRDefault="005B4B3E" w:rsidP="00100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Šimáně</w:t>
            </w:r>
            <w:r w:rsidR="001009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09EB"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C12146" w:rsidRPr="001009EB" w:rsidRDefault="00C12146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605 247 512, 605 247 523</w:t>
            </w:r>
          </w:p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ind w:left="3686" w:right="566" w:hanging="2835"/>
        <w:jc w:val="center"/>
        <w:rPr>
          <w:rFonts w:ascii="Arial" w:hAnsi="Arial" w:cs="Arial"/>
        </w:rPr>
      </w:pP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146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46" w:rsidRPr="0013039B" w:rsidRDefault="00C12146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146" w:rsidRPr="0013039B" w:rsidRDefault="00C121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0BB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BB" w:rsidRPr="0013039B" w:rsidRDefault="002942BA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</w:t>
            </w:r>
            <w:r w:rsidR="000810BB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BB" w:rsidRPr="0013039B" w:rsidRDefault="000810BB" w:rsidP="00081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9263B7" w:rsidRPr="0013039B" w:rsidRDefault="009263B7">
      <w:pPr>
        <w:rPr>
          <w:rFonts w:ascii="Arial" w:hAnsi="Arial" w:cs="Arial"/>
          <w:color w:val="000000"/>
        </w:rPr>
      </w:pPr>
    </w:p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 w:rsidR="008E5020">
        <w:rPr>
          <w:rFonts w:ascii="Arial" w:hAnsi="Arial" w:cs="Arial"/>
          <w:color w:val="000000"/>
          <w:sz w:val="22"/>
          <w:szCs w:val="22"/>
        </w:rPr>
        <w:t>veřejná zakázka na stavební práce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 w:rsidR="00B75319">
        <w:rPr>
          <w:rFonts w:ascii="Arial" w:hAnsi="Arial" w:cs="Arial"/>
          <w:b/>
          <w:color w:val="000000"/>
          <w:sz w:val="22"/>
          <w:szCs w:val="22"/>
        </w:rPr>
        <w:t xml:space="preserve">Oprava </w:t>
      </w:r>
      <w:r w:rsidR="00016260">
        <w:rPr>
          <w:rFonts w:ascii="Arial" w:hAnsi="Arial" w:cs="Arial"/>
          <w:b/>
          <w:color w:val="000000"/>
          <w:sz w:val="22"/>
          <w:szCs w:val="22"/>
        </w:rPr>
        <w:t>vodovodní přípojky pitné a požární vody pro objekt Státního oblastního archivu v Plzni, pracoviště Klášter u Nepomuka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“</w:t>
      </w:r>
      <w:r w:rsidR="00FF1054">
        <w:rPr>
          <w:rFonts w:ascii="Arial" w:hAnsi="Arial" w:cs="Arial"/>
          <w:color w:val="000000"/>
          <w:sz w:val="22"/>
          <w:szCs w:val="22"/>
        </w:rPr>
        <w:t>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Předmět díla (stavba) bude proveden dle rozsahu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projektové dokumentace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zpracované </w:t>
      </w:r>
      <w:r w:rsidR="00016260">
        <w:rPr>
          <w:rFonts w:ascii="Arial" w:hAnsi="Arial" w:cs="Arial"/>
          <w:color w:val="000000"/>
          <w:sz w:val="22"/>
          <w:szCs w:val="22"/>
        </w:rPr>
        <w:t>firmou Vodoplan s.r.o. v březnu 2016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 cenové 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z</w:t>
      </w:r>
      <w:r w:rsidR="005B4B3E">
        <w:rPr>
          <w:rFonts w:ascii="Arial" w:hAnsi="Arial" w:cs="Arial"/>
          <w:color w:val="000000"/>
          <w:sz w:val="22"/>
          <w:szCs w:val="22"/>
        </w:rPr>
        <w:t>e dne ……..</w:t>
      </w:r>
      <w:r w:rsidRPr="005B4B3E">
        <w:rPr>
          <w:rFonts w:ascii="Arial" w:hAnsi="Arial" w:cs="Arial"/>
          <w:color w:val="000000"/>
          <w:sz w:val="22"/>
          <w:szCs w:val="22"/>
        </w:rPr>
        <w:t>, kterou tvoří položkový rozpočet</w:t>
      </w:r>
      <w:r w:rsidR="00D64C5D">
        <w:rPr>
          <w:rFonts w:ascii="Arial" w:hAnsi="Arial" w:cs="Arial"/>
          <w:color w:val="000000"/>
          <w:sz w:val="22"/>
          <w:szCs w:val="22"/>
        </w:rPr>
        <w:t xml:space="preserve"> ze dne …….</w:t>
      </w:r>
      <w:r w:rsidRPr="005B4B3E">
        <w:rPr>
          <w:rFonts w:ascii="Arial" w:hAnsi="Arial" w:cs="Arial"/>
          <w:color w:val="000000"/>
          <w:sz w:val="22"/>
          <w:szCs w:val="22"/>
        </w:rPr>
        <w:t>, který je nedílnou přílohou této smlouvy o dílo.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7CF" w:rsidRDefault="003037CF" w:rsidP="003037CF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>Cena za provedené dílo v rozsahu Čl. II. této smlouvy se v souladu s</w:t>
      </w:r>
      <w:r w:rsidR="003D30EF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 platném znění, sjednává dohodou ve výši:</w:t>
      </w:r>
    </w:p>
    <w:p w:rsidR="001B0340" w:rsidRPr="003037CF" w:rsidRDefault="001B0340" w:rsidP="001B0340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>cena bez DPH :          ........................................................</w:t>
      </w:r>
      <w:r w:rsidRPr="003037CF">
        <w:rPr>
          <w:rFonts w:ascii="Arial" w:hAnsi="Arial" w:cs="Arial"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>sazba DPH :                 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>cena včetně DPH :     .........................................................</w:t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P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>slovy:         ...................................................................................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Závazným podkladem pro uzavření této smlouvy o dílo a stanovení smluvní ceny je zveřejněná zadávací dokumentace k veřejné zakázce „Oprava </w:t>
      </w:r>
      <w:r w:rsidR="00016260">
        <w:rPr>
          <w:rFonts w:ascii="Arial" w:hAnsi="Arial" w:cs="Arial"/>
          <w:sz w:val="22"/>
          <w:szCs w:val="22"/>
        </w:rPr>
        <w:t>vodovodní přípojky pitné a požární vody pro objekt Státního oblastního archivu v Plzni, pracoviště Klášter u Nepomuka</w:t>
      </w:r>
      <w:r>
        <w:rPr>
          <w:rFonts w:ascii="Arial" w:hAnsi="Arial" w:cs="Arial"/>
          <w:sz w:val="22"/>
          <w:szCs w:val="22"/>
        </w:rPr>
        <w:t xml:space="preserve">“ ze dne </w:t>
      </w:r>
      <w:r w:rsidR="00DC3E44">
        <w:rPr>
          <w:rFonts w:ascii="Arial" w:hAnsi="Arial" w:cs="Arial"/>
          <w:sz w:val="22"/>
          <w:szCs w:val="22"/>
        </w:rPr>
        <w:t>2</w:t>
      </w:r>
      <w:r w:rsidR="0001626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01626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.201</w:t>
      </w:r>
      <w:r w:rsidR="000162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včetně všech příloh, jejichž nedílnou součástí je :</w:t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Projektová dokumentace </w:t>
      </w:r>
      <w:r w:rsidR="00016260">
        <w:rPr>
          <w:rFonts w:ascii="Arial" w:hAnsi="Arial" w:cs="Arial"/>
          <w:sz w:val="22"/>
          <w:szCs w:val="22"/>
        </w:rPr>
        <w:t>pro provádění stavyby</w:t>
      </w:r>
      <w:r>
        <w:rPr>
          <w:rFonts w:ascii="Arial" w:hAnsi="Arial" w:cs="Arial"/>
          <w:sz w:val="22"/>
          <w:szCs w:val="22"/>
        </w:rPr>
        <w:t xml:space="preserve"> zpracovaná </w:t>
      </w:r>
      <w:r w:rsidR="00016260">
        <w:rPr>
          <w:rFonts w:ascii="Arial" w:hAnsi="Arial" w:cs="Arial"/>
          <w:sz w:val="22"/>
          <w:szCs w:val="22"/>
        </w:rPr>
        <w:t>projekční firmou Vodoplan, s.r.o., Sokolovská 41, Plzeň</w:t>
      </w:r>
      <w:r>
        <w:rPr>
          <w:rFonts w:ascii="Arial" w:hAnsi="Arial" w:cs="Arial"/>
          <w:sz w:val="22"/>
          <w:szCs w:val="22"/>
        </w:rPr>
        <w:t xml:space="preserve"> </w:t>
      </w:r>
      <w:r w:rsidR="00E9713E">
        <w:rPr>
          <w:rFonts w:ascii="Arial" w:hAnsi="Arial" w:cs="Arial"/>
          <w:sz w:val="22"/>
          <w:szCs w:val="22"/>
        </w:rPr>
        <w:t>v </w:t>
      </w:r>
      <w:r w:rsidR="00016260">
        <w:rPr>
          <w:rFonts w:ascii="Arial" w:hAnsi="Arial" w:cs="Arial"/>
          <w:sz w:val="22"/>
          <w:szCs w:val="22"/>
        </w:rPr>
        <w:t>březnu</w:t>
      </w:r>
      <w:r w:rsidR="00E9713E">
        <w:rPr>
          <w:rFonts w:ascii="Arial" w:hAnsi="Arial" w:cs="Arial"/>
          <w:sz w:val="22"/>
          <w:szCs w:val="22"/>
        </w:rPr>
        <w:t xml:space="preserve"> 201</w:t>
      </w:r>
      <w:r w:rsidR="00016260">
        <w:rPr>
          <w:rFonts w:ascii="Arial" w:hAnsi="Arial" w:cs="Arial"/>
          <w:sz w:val="22"/>
          <w:szCs w:val="22"/>
        </w:rPr>
        <w:t>6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896CC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Položkový nabídkový rozpočet (oceněný výkaz výměr dle podkladů objednatele jako Příloha č. 1 této smlouvy)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896CC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9263B7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Cena za dílo je pevná, konečná a nepřekročitelná a zhotovitel prohlašuje, že provede dílo řádně, kompletně, včas a za uvedenou cenu.</w:t>
      </w:r>
    </w:p>
    <w:p w:rsidR="00F5016A" w:rsidRPr="0013039B" w:rsidRDefault="00F5016A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před uzavřením smlouvy berou na vědomí, že dílo bylo zadáno podle úplného rozpočtu, a tedy požadavky na případné zvýšení ceny jsou vyloučeny ve smyslu ustanovení § 2621 zákona č. 89/2012 Sb., občanský zákoník, v platném znění. </w:t>
      </w:r>
    </w:p>
    <w:p w:rsidR="009263B7" w:rsidRPr="0013039B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včetně ocenění.</w:t>
      </w:r>
    </w:p>
    <w:p w:rsidR="009263B7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Pr="0013039B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IV.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Zálohy ne</w:t>
      </w:r>
      <w:r w:rsidR="001B381E">
        <w:rPr>
          <w:rFonts w:ascii="Arial" w:hAnsi="Arial" w:cs="Arial"/>
          <w:sz w:val="22"/>
          <w:szCs w:val="22"/>
        </w:rPr>
        <w:t>budou poskytovány</w:t>
      </w:r>
      <w:r>
        <w:rPr>
          <w:rFonts w:ascii="Arial" w:hAnsi="Arial" w:cs="Arial"/>
          <w:sz w:val="22"/>
          <w:szCs w:val="22"/>
        </w:rPr>
        <w:t xml:space="preserve">. Platba za předmět plnění bude realizována jednorázově po ukončení plnění veřejné zakázky a převzetí díla objednatelem formou podpisu předávacího protokolu. </w:t>
      </w:r>
    </w:p>
    <w:p w:rsidR="009263B7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Lhůta splatnosti faktury se stanovuje na 21 kalendářních dnů od data jejího prokazatelného doručení objednateli.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 přidané hodnoty, ve znění pozdějších předpisů.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300084" w:rsidRPr="0013039B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Pr="0013039B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V.</w:t>
      </w:r>
    </w:p>
    <w:p w:rsidR="009263B7" w:rsidRPr="0013039B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9263B7" w:rsidRPr="0013039B" w:rsidRDefault="009263B7">
      <w:pPr>
        <w:tabs>
          <w:tab w:val="left" w:pos="864"/>
        </w:tabs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3039B">
        <w:rPr>
          <w:rFonts w:ascii="Arial" w:hAnsi="Arial" w:cs="Arial"/>
          <w:b w:val="0"/>
          <w:bCs w:val="0"/>
          <w:sz w:val="22"/>
          <w:szCs w:val="22"/>
        </w:rPr>
        <w:t xml:space="preserve">Termín zahájení </w:t>
      </w:r>
      <w:r w:rsidR="000C3C4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plnění je </w:t>
      </w:r>
      <w:r w:rsidR="00016260">
        <w:rPr>
          <w:rFonts w:ascii="Arial" w:hAnsi="Arial" w:cs="Arial"/>
          <w:b w:val="0"/>
          <w:bCs w:val="0"/>
          <w:sz w:val="22"/>
          <w:szCs w:val="22"/>
          <w:lang w:val="cs-CZ"/>
        </w:rPr>
        <w:t>od data podpisu smlouvy</w:t>
      </w:r>
      <w:r w:rsidRPr="0013039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je povinen předat objednateli předmět díla řádně dokončený nejpozději do </w:t>
      </w:r>
      <w:r w:rsidR="00745ED1">
        <w:rPr>
          <w:rFonts w:ascii="Arial" w:hAnsi="Arial" w:cs="Arial"/>
          <w:sz w:val="22"/>
          <w:szCs w:val="22"/>
        </w:rPr>
        <w:t>16.9.2016.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převzetí dokončené stavby objednatelem.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</w:t>
      </w:r>
      <w:r w:rsidR="00016260">
        <w:rPr>
          <w:rFonts w:ascii="Arial" w:hAnsi="Arial" w:cs="Arial"/>
          <w:sz w:val="22"/>
          <w:szCs w:val="22"/>
        </w:rPr>
        <w:t>oblastní archiv v Plzni, pracoviště Klášter u Nepomuka, Klášter č.p. 101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>Veškerá přerušení prací budou zapsána do stavebního deníku.</w:t>
      </w:r>
    </w:p>
    <w:p w:rsidR="009263B7" w:rsidRPr="0013039B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F42737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Zadávací dokumentace k veřejné zakázce „Oprava </w:t>
      </w:r>
      <w:r w:rsidR="00016260">
        <w:rPr>
          <w:rFonts w:ascii="Arial" w:hAnsi="Arial" w:cs="Arial"/>
          <w:color w:val="000000"/>
          <w:sz w:val="22"/>
          <w:szCs w:val="22"/>
        </w:rPr>
        <w:t>vodovodní přípojky pitné a požární vody pro objekt Státního oblastního archivu v Plzni, pracoviště Klášter u Nepomuka</w:t>
      </w:r>
      <w:r w:rsidR="007A37C2">
        <w:rPr>
          <w:rFonts w:ascii="Arial" w:hAnsi="Arial" w:cs="Arial"/>
          <w:color w:val="000000"/>
          <w:sz w:val="22"/>
          <w:szCs w:val="22"/>
        </w:rPr>
        <w:t>“ ze dne 2</w:t>
      </w:r>
      <w:r w:rsidR="00016260">
        <w:rPr>
          <w:rFonts w:ascii="Arial" w:hAnsi="Arial" w:cs="Arial"/>
          <w:color w:val="000000"/>
          <w:sz w:val="22"/>
          <w:szCs w:val="22"/>
        </w:rPr>
        <w:t>7</w:t>
      </w:r>
      <w:r w:rsidR="007A37C2">
        <w:rPr>
          <w:rFonts w:ascii="Arial" w:hAnsi="Arial" w:cs="Arial"/>
          <w:color w:val="000000"/>
          <w:sz w:val="22"/>
          <w:szCs w:val="22"/>
        </w:rPr>
        <w:t>.</w:t>
      </w:r>
      <w:r w:rsidR="00016260">
        <w:rPr>
          <w:rFonts w:ascii="Arial" w:hAnsi="Arial" w:cs="Arial"/>
          <w:color w:val="000000"/>
          <w:sz w:val="22"/>
          <w:szCs w:val="22"/>
        </w:rPr>
        <w:t>4</w:t>
      </w:r>
      <w:r w:rsidR="007A37C2">
        <w:rPr>
          <w:rFonts w:ascii="Arial" w:hAnsi="Arial" w:cs="Arial"/>
          <w:color w:val="000000"/>
          <w:sz w:val="22"/>
          <w:szCs w:val="22"/>
        </w:rPr>
        <w:t>.201</w:t>
      </w:r>
      <w:r w:rsidR="00016260">
        <w:rPr>
          <w:rFonts w:ascii="Arial" w:hAnsi="Arial" w:cs="Arial"/>
          <w:color w:val="000000"/>
          <w:sz w:val="22"/>
          <w:szCs w:val="22"/>
        </w:rPr>
        <w:t>6</w:t>
      </w:r>
      <w:r w:rsidR="007A37C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jejíž součástí je p</w:t>
      </w:r>
      <w:r w:rsidR="00B75319">
        <w:rPr>
          <w:rFonts w:ascii="Arial" w:hAnsi="Arial" w:cs="Arial"/>
          <w:color w:val="000000"/>
          <w:sz w:val="22"/>
          <w:szCs w:val="22"/>
        </w:rPr>
        <w:t>rojektová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dokumentace</w:t>
      </w:r>
      <w:r w:rsidR="00B75319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, včetně 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>položkového soupisu prací, zpracovan</w:t>
      </w:r>
      <w:r w:rsidR="000D5CE6">
        <w:rPr>
          <w:rFonts w:ascii="Arial" w:hAnsi="Arial" w:cs="Arial"/>
          <w:color w:val="000000"/>
          <w:sz w:val="22"/>
          <w:szCs w:val="22"/>
        </w:rPr>
        <w:t>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>firmou Vodoplan s.r.o., Sokolovská 41, Plzeň</w:t>
      </w:r>
      <w:r w:rsidR="00D44E6F">
        <w:rPr>
          <w:rFonts w:ascii="Arial" w:hAnsi="Arial" w:cs="Arial"/>
          <w:color w:val="000000"/>
          <w:sz w:val="22"/>
          <w:szCs w:val="22"/>
        </w:rPr>
        <w:t xml:space="preserve"> </w:t>
      </w:r>
      <w:r w:rsidR="00D44E6F">
        <w:rPr>
          <w:rFonts w:ascii="Arial" w:hAnsi="Arial" w:cs="Arial"/>
          <w:color w:val="000000"/>
          <w:sz w:val="22"/>
          <w:szCs w:val="22"/>
        </w:rPr>
        <w:lastRenderedPageBreak/>
        <w:t>v </w:t>
      </w:r>
      <w:r w:rsidR="00016260">
        <w:rPr>
          <w:rFonts w:ascii="Arial" w:hAnsi="Arial" w:cs="Arial"/>
          <w:color w:val="000000"/>
          <w:sz w:val="22"/>
          <w:szCs w:val="22"/>
        </w:rPr>
        <w:t>3</w:t>
      </w:r>
      <w:r w:rsidR="00D44E6F">
        <w:rPr>
          <w:rFonts w:ascii="Arial" w:hAnsi="Arial" w:cs="Arial"/>
          <w:color w:val="000000"/>
          <w:sz w:val="22"/>
          <w:szCs w:val="22"/>
        </w:rPr>
        <w:t>/201</w:t>
      </w:r>
      <w:r w:rsidR="00016260">
        <w:rPr>
          <w:rFonts w:ascii="Arial" w:hAnsi="Arial" w:cs="Arial"/>
          <w:color w:val="000000"/>
          <w:sz w:val="22"/>
          <w:szCs w:val="22"/>
        </w:rPr>
        <w:t>6</w:t>
      </w:r>
      <w:r w:rsidR="00EE1C10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a zhotovitelem oceněný p</w:t>
      </w:r>
      <w:r w:rsidR="00B31663">
        <w:rPr>
          <w:rFonts w:ascii="Arial" w:hAnsi="Arial" w:cs="Arial"/>
          <w:color w:val="000000"/>
          <w:sz w:val="22"/>
          <w:szCs w:val="22"/>
        </w:rPr>
        <w:t>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 w:rsidR="000D5CE6">
        <w:rPr>
          <w:rFonts w:ascii="Arial" w:hAnsi="Arial" w:cs="Arial"/>
          <w:color w:val="000000"/>
          <w:sz w:val="22"/>
          <w:szCs w:val="22"/>
        </w:rPr>
        <w:t xml:space="preserve"> ………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201</w:t>
      </w:r>
      <w:r w:rsidR="00016260">
        <w:rPr>
          <w:rFonts w:ascii="Arial" w:hAnsi="Arial" w:cs="Arial"/>
          <w:color w:val="000000"/>
          <w:sz w:val="22"/>
          <w:szCs w:val="22"/>
        </w:rPr>
        <w:t>6</w:t>
      </w:r>
      <w:r w:rsidR="000D5CE6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Pr="003C4202">
        <w:rPr>
          <w:rFonts w:ascii="Arial" w:hAnsi="Arial" w:cs="Arial"/>
          <w:sz w:val="22"/>
          <w:szCs w:val="22"/>
        </w:rPr>
        <w:t>7-1</w:t>
      </w:r>
      <w:r w:rsidR="004137D3" w:rsidRPr="003C4202">
        <w:rPr>
          <w:rFonts w:ascii="Arial" w:hAnsi="Arial" w:cs="Arial"/>
          <w:sz w:val="22"/>
          <w:szCs w:val="22"/>
        </w:rPr>
        <w:t>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hodin. Po dobu provádění díla může objednatel vstupovat na staveniště pouze na vlastní nebezpečí, je však povinen dbát zvýšené opatrnosti a dodržovat zásady BOZP.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 w:rsidR="00F144FD"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144FD" w:rsidRPr="0013039B" w:rsidRDefault="00F144FD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je povinen vybudovat zařízení staveniště tak, aby jejich stavbou a provozováním nevznikly žádné škody na pozemku nebo objektu objednatele a jiných osob, sousedních objektech a pozemcích nebo podzemním vedení a na životním prostředí a po ukončení</w:t>
      </w:r>
      <w:r w:rsidR="00C5260E">
        <w:rPr>
          <w:rFonts w:ascii="Arial" w:hAnsi="Arial" w:cs="Arial"/>
          <w:color w:val="000000"/>
          <w:sz w:val="22"/>
          <w:szCs w:val="22"/>
        </w:rPr>
        <w:t xml:space="preserve"> plnění je povinen</w:t>
      </w:r>
      <w:r>
        <w:rPr>
          <w:rFonts w:ascii="Arial" w:hAnsi="Arial" w:cs="Arial"/>
          <w:color w:val="000000"/>
          <w:sz w:val="22"/>
          <w:szCs w:val="22"/>
        </w:rPr>
        <w:t xml:space="preserve"> uvést pozemek nebo objekty do původního stavu. Pokud vzniknou činností nebo nečinností zhotovitele jakékoliv škody, odpovídá za ně zhotovitel.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072BD3" w:rsidRPr="0013039B" w:rsidRDefault="00072BD3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 zajistit v souladu s projektovou dokumentací pro provádění stavby před zahájením stavebních prací vytýčení stávajících sítí technické infrastruktury, a to na vlastní náklady zhotovitele. </w:t>
      </w:r>
    </w:p>
    <w:p w:rsidR="009263B7" w:rsidRPr="00016260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6260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016260">
        <w:rPr>
          <w:rFonts w:ascii="Arial" w:hAnsi="Arial" w:cs="Arial"/>
          <w:color w:val="000000"/>
          <w:sz w:val="22"/>
          <w:szCs w:val="22"/>
        </w:rPr>
        <w:t>zajist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>it</w:t>
      </w:r>
      <w:r w:rsidRPr="00016260">
        <w:rPr>
          <w:rFonts w:ascii="Arial" w:hAnsi="Arial" w:cs="Arial"/>
          <w:color w:val="000000"/>
          <w:sz w:val="22"/>
          <w:szCs w:val="22"/>
        </w:rPr>
        <w:t xml:space="preserve"> po zplnomocnění od objednatele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Pr="00016260">
        <w:rPr>
          <w:rFonts w:ascii="Arial" w:hAnsi="Arial" w:cs="Arial"/>
          <w:color w:val="000000"/>
          <w:sz w:val="22"/>
          <w:szCs w:val="22"/>
        </w:rPr>
        <w:t>případná potřebná povolení související se stavbou.</w:t>
      </w:r>
      <w:r w:rsidR="000C3C4D" w:rsidRPr="00016260">
        <w:rPr>
          <w:rFonts w:ascii="Arial" w:hAnsi="Arial" w:cs="Arial"/>
          <w:color w:val="000000"/>
          <w:sz w:val="22"/>
          <w:szCs w:val="22"/>
        </w:rPr>
        <w:t xml:space="preserve"> Veškeré náklady spojené se zajištěním potřebných povolení jsou zahrnuty v ceně díla.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016260" w:rsidRDefault="00016260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271E8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271E8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271E8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271E8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271E8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271E8" w:rsidRPr="0013039B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IX.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AD4688" w:rsidRDefault="00AD468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Pr="0013039B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8271E8">
        <w:rPr>
          <w:rFonts w:ascii="Arial" w:hAnsi="Arial" w:cs="Arial"/>
          <w:sz w:val="22"/>
          <w:szCs w:val="22"/>
        </w:rPr>
        <w:t>Mgr. Jakub Mírka</w:t>
      </w:r>
      <w:r w:rsidR="00D951A8">
        <w:rPr>
          <w:rFonts w:ascii="Arial" w:hAnsi="Arial" w:cs="Arial"/>
          <w:sz w:val="22"/>
          <w:szCs w:val="22"/>
        </w:rPr>
        <w:t xml:space="preserve"> </w:t>
      </w:r>
      <w:r w:rsidR="0098526C">
        <w:rPr>
          <w:rFonts w:ascii="Arial" w:hAnsi="Arial" w:cs="Arial"/>
          <w:sz w:val="22"/>
          <w:szCs w:val="22"/>
        </w:rPr>
        <w:t xml:space="preserve">(tel. 733 390 220) </w:t>
      </w:r>
      <w:r w:rsidR="00D951A8">
        <w:rPr>
          <w:rFonts w:ascii="Arial" w:hAnsi="Arial" w:cs="Arial"/>
          <w:sz w:val="22"/>
          <w:szCs w:val="22"/>
        </w:rPr>
        <w:t>a</w:t>
      </w:r>
      <w:r w:rsidR="00F5016A" w:rsidRPr="00F5016A">
        <w:rPr>
          <w:rFonts w:ascii="Arial" w:hAnsi="Arial" w:cs="Arial"/>
          <w:sz w:val="22"/>
          <w:szCs w:val="22"/>
        </w:rPr>
        <w:t xml:space="preserve"> </w:t>
      </w:r>
      <w:r w:rsidR="008271E8">
        <w:rPr>
          <w:rFonts w:ascii="Arial" w:hAnsi="Arial" w:cs="Arial"/>
          <w:sz w:val="22"/>
          <w:szCs w:val="22"/>
        </w:rPr>
        <w:t>Jiří Mařík</w:t>
      </w:r>
      <w:r w:rsidR="0098526C">
        <w:rPr>
          <w:rFonts w:ascii="Arial" w:hAnsi="Arial" w:cs="Arial"/>
          <w:sz w:val="22"/>
          <w:szCs w:val="22"/>
        </w:rPr>
        <w:t xml:space="preserve"> (tel. 739 011 525)</w:t>
      </w:r>
      <w:r w:rsidR="004137D3">
        <w:rPr>
          <w:rFonts w:ascii="Arial" w:hAnsi="Arial" w:cs="Arial"/>
          <w:sz w:val="22"/>
          <w:szCs w:val="22"/>
        </w:rPr>
        <w:t>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lastRenderedPageBreak/>
        <w:t>Zhotovitel poskytne objednateli záruku na provedení díla po dobu 60 měsíců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>dnů po písemném uplatnění reklamace objednatelem a vady 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 jejím zjištění písemnou formou.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á třetí osoba 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9263B7" w:rsidRPr="0013039B" w:rsidRDefault="009263B7">
      <w:pPr>
        <w:pStyle w:val="Zkladntextodsazen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="00E9713E">
        <w:rPr>
          <w:rFonts w:ascii="Arial" w:hAnsi="Arial" w:cs="Arial"/>
          <w:bCs/>
          <w:color w:val="000000"/>
          <w:sz w:val="22"/>
          <w:szCs w:val="22"/>
        </w:rPr>
        <w:t xml:space="preserve">včetně DPH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Zaplacením smluvní pokuty není dotčeno právo smluvních stran na náhradu škody způsobené druhou smluvní stranou a to v částce převyšující smluvní pokutu.</w:t>
      </w:r>
    </w:p>
    <w:p w:rsidR="009263B7" w:rsidRPr="0013039B" w:rsidRDefault="009263B7">
      <w:pPr>
        <w:pStyle w:val="Zkladntextodsazen21"/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XIV.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numPr>
          <w:ilvl w:val="0"/>
          <w:numId w:val="15"/>
        </w:numPr>
        <w:tabs>
          <w:tab w:val="left" w:pos="1152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provádění předmětu díla v rozporu s cenovou kalkulací.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osobě, po možném finančním vyrovnání se zhotovitelem stavby. O výše uvedeném možném vyrovnání bude proveden zápis.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="00961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61A33" w:rsidRPr="0013039B" w:rsidRDefault="00347746" w:rsidP="00347746">
      <w:pPr>
        <w:pStyle w:val="Zkladntextodsazen21"/>
        <w:numPr>
          <w:ilvl w:val="0"/>
          <w:numId w:val="3"/>
        </w:numPr>
        <w:tabs>
          <w:tab w:val="clear" w:pos="0"/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souhlasí se zveřejněním této </w:t>
      </w:r>
      <w:r w:rsidR="00C12146">
        <w:rPr>
          <w:rFonts w:ascii="Arial" w:hAnsi="Arial" w:cs="Arial"/>
          <w:color w:val="000000"/>
          <w:sz w:val="22"/>
          <w:szCs w:val="22"/>
        </w:rPr>
        <w:t xml:space="preserve">smlouvy na internetu na Portálu </w:t>
      </w:r>
      <w:r>
        <w:rPr>
          <w:rFonts w:ascii="Arial" w:hAnsi="Arial" w:cs="Arial"/>
          <w:color w:val="000000"/>
          <w:sz w:val="22"/>
          <w:szCs w:val="22"/>
        </w:rPr>
        <w:t xml:space="preserve">veřejné  správy (Registr smluv) a na webových stránkách objednatele. 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dvou vyhotoveních s platností originálu, z nichž jedno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C07648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>č. 1 – Stavební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4137D3">
        <w:rPr>
          <w:rFonts w:ascii="Arial" w:hAnsi="Arial" w:cs="Arial"/>
          <w:sz w:val="22"/>
          <w:szCs w:val="22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</w:p>
    <w:p w:rsidR="004137D3" w:rsidRPr="00F42737" w:rsidRDefault="00C07648" w:rsidP="00F4273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42737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="00253888" w:rsidRPr="00F42737">
        <w:rPr>
          <w:rFonts w:ascii="Arial" w:hAnsi="Arial" w:cs="Arial"/>
          <w:sz w:val="22"/>
          <w:szCs w:val="22"/>
        </w:rPr>
        <w:tab/>
      </w:r>
      <w:r w:rsidR="009263B7" w:rsidRPr="00F42737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6C7D50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po přečtení této smlouvy prohlašují, že byla sepsána a uzavřena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AD468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 w:rsidSect="00AD4688">
      <w:footerReference w:type="default" r:id="rId8"/>
      <w:pgSz w:w="11906" w:h="16838"/>
      <w:pgMar w:top="1417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B2" w:rsidRDefault="00B418B2">
      <w:r>
        <w:separator/>
      </w:r>
    </w:p>
  </w:endnote>
  <w:endnote w:type="continuationSeparator" w:id="0">
    <w:p w:rsidR="00B418B2" w:rsidRDefault="00B4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3" w:rsidRPr="00AD4688" w:rsidRDefault="00961A33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 w:rsidR="00DB12D0"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961A33" w:rsidRPr="00AD4688" w:rsidRDefault="00961A33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B2" w:rsidRDefault="00B418B2">
      <w:r>
        <w:separator/>
      </w:r>
    </w:p>
  </w:footnote>
  <w:footnote w:type="continuationSeparator" w:id="0">
    <w:p w:rsidR="00B418B2" w:rsidRDefault="00B4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287CB8"/>
    <w:multiLevelType w:val="hybridMultilevel"/>
    <w:tmpl w:val="C3981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517DE6"/>
    <w:multiLevelType w:val="hybridMultilevel"/>
    <w:tmpl w:val="7F2E7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9"/>
    <w:rsid w:val="00016260"/>
    <w:rsid w:val="00072BD3"/>
    <w:rsid w:val="000810BB"/>
    <w:rsid w:val="000C3C4D"/>
    <w:rsid w:val="000D10B9"/>
    <w:rsid w:val="000D5CE6"/>
    <w:rsid w:val="001009EB"/>
    <w:rsid w:val="0010672D"/>
    <w:rsid w:val="0013039B"/>
    <w:rsid w:val="00163444"/>
    <w:rsid w:val="00181741"/>
    <w:rsid w:val="00195836"/>
    <w:rsid w:val="001B0340"/>
    <w:rsid w:val="001B381E"/>
    <w:rsid w:val="001D1920"/>
    <w:rsid w:val="002331CC"/>
    <w:rsid w:val="00253888"/>
    <w:rsid w:val="00285D8D"/>
    <w:rsid w:val="002942BA"/>
    <w:rsid w:val="00294ECD"/>
    <w:rsid w:val="002B4AB5"/>
    <w:rsid w:val="002E15DC"/>
    <w:rsid w:val="002E306C"/>
    <w:rsid w:val="00300084"/>
    <w:rsid w:val="003037CF"/>
    <w:rsid w:val="00347746"/>
    <w:rsid w:val="0038273C"/>
    <w:rsid w:val="00390316"/>
    <w:rsid w:val="003916DE"/>
    <w:rsid w:val="003C4202"/>
    <w:rsid w:val="003D30EF"/>
    <w:rsid w:val="004137D3"/>
    <w:rsid w:val="00432E34"/>
    <w:rsid w:val="004545EC"/>
    <w:rsid w:val="0045785E"/>
    <w:rsid w:val="00475689"/>
    <w:rsid w:val="004965CB"/>
    <w:rsid w:val="004B60A6"/>
    <w:rsid w:val="00506355"/>
    <w:rsid w:val="005353C3"/>
    <w:rsid w:val="005648FD"/>
    <w:rsid w:val="00584FF0"/>
    <w:rsid w:val="005A7B93"/>
    <w:rsid w:val="005B4B3E"/>
    <w:rsid w:val="005E7360"/>
    <w:rsid w:val="006501C6"/>
    <w:rsid w:val="0069531E"/>
    <w:rsid w:val="006C4ECD"/>
    <w:rsid w:val="006C7D50"/>
    <w:rsid w:val="006F57B9"/>
    <w:rsid w:val="00742FFD"/>
    <w:rsid w:val="007431B2"/>
    <w:rsid w:val="00745ED1"/>
    <w:rsid w:val="007A37C2"/>
    <w:rsid w:val="007C20FC"/>
    <w:rsid w:val="008271E8"/>
    <w:rsid w:val="008359BF"/>
    <w:rsid w:val="00896CC4"/>
    <w:rsid w:val="008C15F0"/>
    <w:rsid w:val="008C1C40"/>
    <w:rsid w:val="008E5020"/>
    <w:rsid w:val="00913511"/>
    <w:rsid w:val="009263B7"/>
    <w:rsid w:val="00951702"/>
    <w:rsid w:val="00961A33"/>
    <w:rsid w:val="0098114F"/>
    <w:rsid w:val="0098526C"/>
    <w:rsid w:val="00985BE9"/>
    <w:rsid w:val="009A25F8"/>
    <w:rsid w:val="009A630E"/>
    <w:rsid w:val="009F29C9"/>
    <w:rsid w:val="009F34EE"/>
    <w:rsid w:val="00A54BF9"/>
    <w:rsid w:val="00A909F6"/>
    <w:rsid w:val="00AD4688"/>
    <w:rsid w:val="00B02DC2"/>
    <w:rsid w:val="00B044D7"/>
    <w:rsid w:val="00B31663"/>
    <w:rsid w:val="00B374AB"/>
    <w:rsid w:val="00B418B2"/>
    <w:rsid w:val="00B43E9F"/>
    <w:rsid w:val="00B62AF1"/>
    <w:rsid w:val="00B74715"/>
    <w:rsid w:val="00B75319"/>
    <w:rsid w:val="00BA30E8"/>
    <w:rsid w:val="00BA4BF9"/>
    <w:rsid w:val="00BD724E"/>
    <w:rsid w:val="00C07648"/>
    <w:rsid w:val="00C12146"/>
    <w:rsid w:val="00C5260E"/>
    <w:rsid w:val="00C73F7E"/>
    <w:rsid w:val="00C9569E"/>
    <w:rsid w:val="00CC056E"/>
    <w:rsid w:val="00CC34E2"/>
    <w:rsid w:val="00D151AA"/>
    <w:rsid w:val="00D32FED"/>
    <w:rsid w:val="00D44E6F"/>
    <w:rsid w:val="00D52098"/>
    <w:rsid w:val="00D64C5D"/>
    <w:rsid w:val="00D951A8"/>
    <w:rsid w:val="00DB12D0"/>
    <w:rsid w:val="00DB75B9"/>
    <w:rsid w:val="00DC1F9D"/>
    <w:rsid w:val="00DC3E44"/>
    <w:rsid w:val="00DC5AE8"/>
    <w:rsid w:val="00E9713E"/>
    <w:rsid w:val="00EB67E3"/>
    <w:rsid w:val="00EB6989"/>
    <w:rsid w:val="00EE1C10"/>
    <w:rsid w:val="00F0291C"/>
    <w:rsid w:val="00F144FD"/>
    <w:rsid w:val="00F42737"/>
    <w:rsid w:val="00F5016A"/>
    <w:rsid w:val="00F61366"/>
    <w:rsid w:val="00F7173D"/>
    <w:rsid w:val="00F87B8F"/>
    <w:rsid w:val="00FA1B06"/>
    <w:rsid w:val="00FA6B3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Vladimír Pavelka</dc:creator>
  <cp:lastModifiedBy>Petr Kocourek</cp:lastModifiedBy>
  <cp:revision>2</cp:revision>
  <cp:lastPrinted>2015-11-25T05:43:00Z</cp:lastPrinted>
  <dcterms:created xsi:type="dcterms:W3CDTF">2016-04-27T16:21:00Z</dcterms:created>
  <dcterms:modified xsi:type="dcterms:W3CDTF">2016-04-27T16:21:00Z</dcterms:modified>
</cp:coreProperties>
</file>