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60E46">
        <w:rPr>
          <w:rFonts w:ascii="Arial" w:hAnsi="Arial" w:cs="Arial"/>
          <w:b/>
          <w:sz w:val="28"/>
          <w:szCs w:val="28"/>
        </w:rPr>
        <w:t>SMLOUVA  O  DÍLO</w:t>
      </w:r>
      <w:proofErr w:type="gramEnd"/>
      <w:r w:rsidRPr="00960E46">
        <w:rPr>
          <w:rFonts w:ascii="Arial" w:hAnsi="Arial" w:cs="Arial"/>
          <w:b/>
          <w:sz w:val="28"/>
          <w:szCs w:val="28"/>
        </w:rPr>
        <w:t xml:space="preserve">  č.</w:t>
      </w:r>
      <w:r w:rsidRPr="00960E46">
        <w:rPr>
          <w:rFonts w:ascii="Arial" w:hAnsi="Arial" w:cs="Arial"/>
          <w:sz w:val="28"/>
          <w:szCs w:val="28"/>
        </w:rPr>
        <w:t xml:space="preserve"> </w:t>
      </w:r>
      <w:r w:rsidR="001A4EFA" w:rsidRPr="001A4EFA">
        <w:rPr>
          <w:rFonts w:ascii="Arial" w:hAnsi="Arial" w:cs="Arial"/>
          <w:b/>
          <w:sz w:val="28"/>
          <w:szCs w:val="28"/>
        </w:rPr>
        <w:t>SOAP/</w:t>
      </w:r>
      <w:r w:rsidR="00BB3FCD">
        <w:rPr>
          <w:rFonts w:ascii="Arial" w:hAnsi="Arial" w:cs="Arial"/>
          <w:b/>
          <w:sz w:val="28"/>
          <w:szCs w:val="28"/>
        </w:rPr>
        <w:t>002-</w:t>
      </w:r>
      <w:r w:rsidR="00584758">
        <w:rPr>
          <w:rFonts w:ascii="Arial" w:hAnsi="Arial" w:cs="Arial"/>
          <w:b/>
          <w:sz w:val="28"/>
          <w:szCs w:val="28"/>
        </w:rPr>
        <w:t xml:space="preserve">     </w:t>
      </w:r>
      <w:r w:rsidR="00F31029">
        <w:rPr>
          <w:rFonts w:ascii="Arial" w:hAnsi="Arial" w:cs="Arial"/>
          <w:b/>
          <w:sz w:val="28"/>
          <w:szCs w:val="28"/>
        </w:rPr>
        <w:t>/2014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 w:rsidP="00DC1A57">
      <w:pPr>
        <w:pStyle w:val="Standardntext"/>
        <w:jc w:val="center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uzavřená </w:t>
      </w:r>
      <w:r w:rsidR="00C54E6E" w:rsidRPr="00960E46">
        <w:rPr>
          <w:rFonts w:ascii="Arial" w:hAnsi="Arial" w:cs="Arial"/>
        </w:rPr>
        <w:t>podle §</w:t>
      </w:r>
      <w:r w:rsidR="00D54B36">
        <w:rPr>
          <w:rFonts w:ascii="Arial" w:hAnsi="Arial" w:cs="Arial"/>
        </w:rPr>
        <w:t xml:space="preserve"> 2586 a násl</w:t>
      </w:r>
      <w:r w:rsidR="00C54E6E" w:rsidRPr="00960E46">
        <w:rPr>
          <w:rFonts w:ascii="Arial" w:hAnsi="Arial" w:cs="Arial"/>
        </w:rPr>
        <w:t>.</w:t>
      </w:r>
      <w:r w:rsidR="00D54B36">
        <w:rPr>
          <w:rFonts w:ascii="Arial" w:hAnsi="Arial" w:cs="Arial"/>
        </w:rPr>
        <w:t xml:space="preserve"> zákona č.89/2012 Sb., občanský zákoník,</w:t>
      </w:r>
      <w:r w:rsidR="00C54E6E" w:rsidRPr="00960E46">
        <w:rPr>
          <w:rFonts w:ascii="Arial" w:hAnsi="Arial" w:cs="Arial"/>
        </w:rPr>
        <w:t xml:space="preserve"> v platném znění.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SMLUVNÍ STRANY</w:t>
      </w:r>
    </w:p>
    <w:p w:rsidR="009473C1" w:rsidRPr="00960E46" w:rsidRDefault="009473C1">
      <w:pPr>
        <w:pStyle w:val="Standardntext"/>
        <w:rPr>
          <w:rFonts w:ascii="Arial" w:hAnsi="Arial" w:cs="Arial"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  <w:bCs/>
        </w:rPr>
        <w:t>Česká republika – Státní oblastní archiv v Plzni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se sídlem: Sedláčkova 44, 306 12 Plzeň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zastoupená: ředitelem Mgr. Petrem Hubkou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IČ: 70979090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DIČ: CZ 70979090 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Objednatel není plátcem DPH.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Zástupce pro věci technické: Ing. Lenka Kasíková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Bankovní spojení: Česká národní banka, pobočka Plzeň, 4245881/0710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 377 222 480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E-mail: podatelna@soaplzen.cz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  <w:bCs/>
          <w:u w:val="single"/>
        </w:rPr>
      </w:pPr>
      <w:r w:rsidRPr="00D92C4E">
        <w:rPr>
          <w:rFonts w:ascii="Arial" w:hAnsi="Arial" w:cs="Arial"/>
        </w:rPr>
        <w:t>(dále jen „objednatel“)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Default="00D92C4E">
      <w:pPr>
        <w:pStyle w:val="Standar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Obchodní firma /název/jméno a příjmení</w:t>
      </w:r>
      <w:r w:rsidRPr="00D92C4E">
        <w:rPr>
          <w:rFonts w:ascii="Arial" w:hAnsi="Arial" w:cs="Arial"/>
        </w:rPr>
        <w:tab/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se sídlem: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zastoupena:</w:t>
      </w:r>
      <w:r w:rsidRPr="00D92C4E">
        <w:rPr>
          <w:rFonts w:ascii="Arial" w:hAnsi="Arial" w:cs="Arial"/>
        </w:rPr>
        <w:tab/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IČ :</w:t>
      </w:r>
      <w:r w:rsidRPr="00D92C4E">
        <w:rPr>
          <w:rFonts w:ascii="Arial" w:hAnsi="Arial" w:cs="Arial"/>
        </w:rPr>
        <w:tab/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DIČ: 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Bankovní spojení</w:t>
      </w:r>
      <w:r w:rsidRPr="00D92C4E">
        <w:rPr>
          <w:rFonts w:ascii="Arial" w:hAnsi="Arial" w:cs="Arial"/>
          <w:bCs/>
        </w:rPr>
        <w:t>: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Telefon: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  <w:bCs/>
        </w:rPr>
      </w:pPr>
      <w:r w:rsidRPr="00D92C4E">
        <w:rPr>
          <w:rFonts w:ascii="Arial" w:hAnsi="Arial" w:cs="Arial"/>
        </w:rPr>
        <w:t>E-mail</w:t>
      </w:r>
      <w:r w:rsidRPr="00D92C4E">
        <w:rPr>
          <w:rFonts w:ascii="Arial" w:hAnsi="Arial" w:cs="Arial"/>
          <w:bCs/>
        </w:rPr>
        <w:t xml:space="preserve">: 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>Společnost je zapsána v obchodním rejstříku vedeném……………</w:t>
      </w:r>
      <w:proofErr w:type="gramStart"/>
      <w:r w:rsidRPr="00D92C4E">
        <w:rPr>
          <w:rFonts w:ascii="Arial" w:hAnsi="Arial" w:cs="Arial"/>
        </w:rPr>
        <w:t>….., oddíl</w:t>
      </w:r>
      <w:proofErr w:type="gramEnd"/>
      <w:r w:rsidRPr="00D92C4E">
        <w:rPr>
          <w:rFonts w:ascii="Arial" w:hAnsi="Arial" w:cs="Arial"/>
        </w:rPr>
        <w:t xml:space="preserve"> ……, vložka……………</w:t>
      </w:r>
    </w:p>
    <w:p w:rsidR="00D92C4E" w:rsidRPr="00D92C4E" w:rsidRDefault="00D92C4E" w:rsidP="006E065A">
      <w:pPr>
        <w:pStyle w:val="Standardntext"/>
        <w:spacing w:line="360" w:lineRule="auto"/>
        <w:rPr>
          <w:rFonts w:ascii="Arial" w:hAnsi="Arial" w:cs="Arial"/>
        </w:rPr>
      </w:pPr>
      <w:r w:rsidRPr="00D92C4E">
        <w:rPr>
          <w:rFonts w:ascii="Arial" w:hAnsi="Arial" w:cs="Arial"/>
        </w:rPr>
        <w:t xml:space="preserve">Zástupce pro věci technické: </w:t>
      </w: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</w:p>
    <w:p w:rsidR="00D92C4E" w:rsidRPr="00D92C4E" w:rsidRDefault="00D92C4E" w:rsidP="00D92C4E">
      <w:pPr>
        <w:pStyle w:val="Standardntext"/>
        <w:rPr>
          <w:rFonts w:ascii="Arial" w:hAnsi="Arial" w:cs="Arial"/>
        </w:rPr>
      </w:pPr>
      <w:r w:rsidRPr="00D92C4E">
        <w:rPr>
          <w:rFonts w:ascii="Arial" w:hAnsi="Arial" w:cs="Arial"/>
        </w:rPr>
        <w:t>(dále jen „zhotovitel“)</w:t>
      </w:r>
    </w:p>
    <w:p w:rsidR="00D92C4E" w:rsidRDefault="00D92C4E">
      <w:pPr>
        <w:pStyle w:val="Standardntext"/>
        <w:rPr>
          <w:rFonts w:ascii="Arial" w:hAnsi="Arial" w:cs="Arial"/>
          <w:b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>uzavřeli níže uvedeného dne, měsíce a roku tuto smlouvu o dílo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744E23" w:rsidRDefault="00744E23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proofErr w:type="gramStart"/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1</w:t>
      </w:r>
      <w:r w:rsidRPr="00960E46">
        <w:rPr>
          <w:rFonts w:ascii="Arial" w:hAnsi="Arial" w:cs="Arial"/>
          <w:b/>
        </w:rPr>
        <w:t>.  PŘEDMĚT</w:t>
      </w:r>
      <w:proofErr w:type="gramEnd"/>
      <w:r w:rsidRPr="00960E46">
        <w:rPr>
          <w:rFonts w:ascii="Arial" w:hAnsi="Arial" w:cs="Arial"/>
          <w:b/>
        </w:rPr>
        <w:t xml:space="preserve"> </w:t>
      </w:r>
      <w:r w:rsidR="00D54D5C">
        <w:rPr>
          <w:rFonts w:ascii="Arial" w:hAnsi="Arial" w:cs="Arial"/>
          <w:b/>
        </w:rPr>
        <w:t>PLNĚNÍ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D92C4E" w:rsidRDefault="00C54E6E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Př</w:t>
      </w:r>
      <w:r w:rsidR="00D92C4E">
        <w:rPr>
          <w:rFonts w:ascii="Arial" w:hAnsi="Arial" w:cs="Arial"/>
        </w:rPr>
        <w:t>edmětem této smlouvy je z</w:t>
      </w:r>
      <w:r w:rsidR="006319A4" w:rsidRPr="00960E46">
        <w:rPr>
          <w:rFonts w:ascii="Arial" w:hAnsi="Arial" w:cs="Arial"/>
        </w:rPr>
        <w:t xml:space="preserve">pracování </w:t>
      </w:r>
      <w:r w:rsidRPr="00960E46">
        <w:rPr>
          <w:rFonts w:ascii="Arial" w:hAnsi="Arial" w:cs="Arial"/>
        </w:rPr>
        <w:t>projektové dokumentace</w:t>
      </w:r>
      <w:r w:rsidR="00D92C4E">
        <w:rPr>
          <w:rFonts w:ascii="Arial" w:hAnsi="Arial" w:cs="Arial"/>
        </w:rPr>
        <w:t xml:space="preserve"> na výstavbu </w:t>
      </w:r>
      <w:r w:rsidR="001129DA">
        <w:rPr>
          <w:rFonts w:ascii="Arial" w:hAnsi="Arial" w:cs="Arial"/>
        </w:rPr>
        <w:t>vodovodní</w:t>
      </w:r>
      <w:r w:rsidR="00D92C4E">
        <w:rPr>
          <w:rFonts w:ascii="Arial" w:hAnsi="Arial" w:cs="Arial"/>
        </w:rPr>
        <w:t xml:space="preserve"> přípojky pro objekt Státního okresního archivu </w:t>
      </w:r>
      <w:r w:rsidR="00584758">
        <w:rPr>
          <w:rFonts w:ascii="Arial" w:hAnsi="Arial" w:cs="Arial"/>
        </w:rPr>
        <w:t>Rokycany se sídlem Rokycany, Jeřabinová 1043</w:t>
      </w:r>
      <w:r w:rsidR="001129DA">
        <w:rPr>
          <w:rFonts w:ascii="Arial" w:hAnsi="Arial" w:cs="Arial"/>
        </w:rPr>
        <w:t xml:space="preserve"> a 1044</w:t>
      </w:r>
      <w:r w:rsidR="00D92C4E">
        <w:rPr>
          <w:rFonts w:ascii="Arial" w:hAnsi="Arial" w:cs="Arial"/>
        </w:rPr>
        <w:t xml:space="preserve"> ve stupni projektová dokumentace pro provádění stavby (dále jen dokumentace).</w:t>
      </w:r>
    </w:p>
    <w:p w:rsidR="007D060D" w:rsidRDefault="007D060D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této smlouvy je dále výkon autorského dozoru projektanta v průběhu výstavby </w:t>
      </w:r>
      <w:r w:rsidR="001129DA">
        <w:rPr>
          <w:rFonts w:ascii="Arial" w:hAnsi="Arial" w:cs="Arial"/>
        </w:rPr>
        <w:t>vodovodní</w:t>
      </w:r>
      <w:r>
        <w:rPr>
          <w:rFonts w:ascii="Arial" w:hAnsi="Arial" w:cs="Arial"/>
        </w:rPr>
        <w:t xml:space="preserve"> přípojky. Plnění výkonu autorského dozoru projektanta se bude řídit podle potřeb a průběhu stavby. K plnění výkonu autorského dozoru projektanta bude </w:t>
      </w:r>
      <w:r w:rsidR="00D53A05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vždy vyzván objednatelem předem.  </w:t>
      </w:r>
    </w:p>
    <w:p w:rsidR="001C708B" w:rsidRDefault="001C708B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60E46">
        <w:rPr>
          <w:rFonts w:ascii="Arial" w:hAnsi="Arial" w:cs="Arial"/>
        </w:rPr>
        <w:t xml:space="preserve">okumentace bude </w:t>
      </w:r>
      <w:r w:rsidR="00646C2F">
        <w:rPr>
          <w:rFonts w:ascii="Arial" w:hAnsi="Arial" w:cs="Arial"/>
        </w:rPr>
        <w:t xml:space="preserve">zpracována </w:t>
      </w:r>
      <w:r w:rsidRPr="00960E46">
        <w:rPr>
          <w:rFonts w:ascii="Arial" w:hAnsi="Arial" w:cs="Arial"/>
        </w:rPr>
        <w:t>v rozsahu odpovídajícímu předpokládanému účelu a využití stavby za dodržení kvalitativních podmínek a jakosti ve smyslu příslušných ČSN a prováděcích předpisů. Dokumentace bude zpracována v souladu se stavebním zákonem č. 183/2006 Sb.</w:t>
      </w:r>
      <w:r>
        <w:rPr>
          <w:rFonts w:ascii="Arial" w:hAnsi="Arial" w:cs="Arial"/>
        </w:rPr>
        <w:t xml:space="preserve">, ve znění pozdějších předpisů </w:t>
      </w:r>
      <w:r w:rsidRPr="00960E46">
        <w:rPr>
          <w:rFonts w:ascii="Arial" w:hAnsi="Arial" w:cs="Arial"/>
        </w:rPr>
        <w:t xml:space="preserve">a v rozsahu dle přílohy </w:t>
      </w:r>
      <w:proofErr w:type="gramStart"/>
      <w:r w:rsidRPr="00960E46">
        <w:rPr>
          <w:rFonts w:ascii="Arial" w:hAnsi="Arial" w:cs="Arial"/>
        </w:rPr>
        <w:t>č.</w:t>
      </w:r>
      <w:r>
        <w:rPr>
          <w:rFonts w:ascii="Arial" w:hAnsi="Arial" w:cs="Arial"/>
        </w:rPr>
        <w:t>6</w:t>
      </w:r>
      <w:r w:rsidRPr="00960E46">
        <w:rPr>
          <w:rFonts w:ascii="Arial" w:hAnsi="Arial" w:cs="Arial"/>
        </w:rPr>
        <w:t xml:space="preserve"> vyhláš</w:t>
      </w:r>
      <w:r>
        <w:rPr>
          <w:rFonts w:ascii="Arial" w:hAnsi="Arial" w:cs="Arial"/>
        </w:rPr>
        <w:t>ky</w:t>
      </w:r>
      <w:proofErr w:type="gramEnd"/>
      <w:r w:rsidRPr="00960E46">
        <w:rPr>
          <w:rFonts w:ascii="Arial" w:hAnsi="Arial" w:cs="Arial"/>
        </w:rPr>
        <w:t xml:space="preserve"> č. 499/2006 Sb.</w:t>
      </w:r>
      <w:r>
        <w:rPr>
          <w:rFonts w:ascii="Arial" w:hAnsi="Arial" w:cs="Arial"/>
        </w:rPr>
        <w:t xml:space="preserve">, ve znění pozdějších předpisů. </w:t>
      </w:r>
      <w:r w:rsidR="004F56F0">
        <w:rPr>
          <w:rFonts w:ascii="Arial" w:hAnsi="Arial" w:cs="Arial"/>
        </w:rPr>
        <w:t>Nedílnou s</w:t>
      </w:r>
      <w:r>
        <w:rPr>
          <w:rFonts w:ascii="Arial" w:hAnsi="Arial" w:cs="Arial"/>
        </w:rPr>
        <w:t xml:space="preserve">oučástí zpracované dokumentace </w:t>
      </w:r>
      <w:r w:rsidR="004F56F0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soupis prací a položkový výkaz výměr, zpracovaný podle vyhlášky č. 230/2012 Sb., v jednom vyhotovení bez ocenění a v jednom vyhotovení oceněný dle platného ceníku ÚRS. </w:t>
      </w:r>
    </w:p>
    <w:p w:rsidR="00973B76" w:rsidRPr="007F407F" w:rsidRDefault="004F56F0" w:rsidP="001129DA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 w:rsidRPr="007F407F">
        <w:rPr>
          <w:rFonts w:ascii="Arial" w:hAnsi="Arial" w:cs="Arial"/>
        </w:rPr>
        <w:t>D</w:t>
      </w:r>
      <w:r w:rsidR="001C708B" w:rsidRPr="007F407F">
        <w:rPr>
          <w:rFonts w:ascii="Arial" w:hAnsi="Arial" w:cs="Arial"/>
        </w:rPr>
        <w:t xml:space="preserve">okumentace </w:t>
      </w:r>
      <w:r w:rsidR="00973B76" w:rsidRPr="007F407F">
        <w:rPr>
          <w:rFonts w:ascii="Arial" w:hAnsi="Arial" w:cs="Arial"/>
        </w:rPr>
        <w:t>bude řešit napojení objekt</w:t>
      </w:r>
      <w:r w:rsidR="001129DA" w:rsidRPr="007F407F">
        <w:rPr>
          <w:rFonts w:ascii="Arial" w:hAnsi="Arial" w:cs="Arial"/>
        </w:rPr>
        <w:t>ů</w:t>
      </w:r>
      <w:r w:rsidR="00973B76" w:rsidRPr="007F407F">
        <w:rPr>
          <w:rFonts w:ascii="Arial" w:hAnsi="Arial" w:cs="Arial"/>
        </w:rPr>
        <w:t xml:space="preserve"> SOkA Rokycany Jeřabinová 1043 na parcele st.599/2 a napojení objektu Jeřabinová 1044 na parcele st. 599/3,</w:t>
      </w:r>
      <w:r w:rsidR="001129DA" w:rsidRPr="007F407F">
        <w:rPr>
          <w:rFonts w:ascii="Arial" w:hAnsi="Arial" w:cs="Arial"/>
        </w:rPr>
        <w:t xml:space="preserve"> na veřejnou vodovodní síť</w:t>
      </w:r>
      <w:r w:rsidR="00973B76" w:rsidRPr="007F407F">
        <w:rPr>
          <w:rFonts w:ascii="Arial" w:hAnsi="Arial" w:cs="Arial"/>
        </w:rPr>
        <w:t xml:space="preserve">. Napojení bude podle předběžného </w:t>
      </w:r>
      <w:r w:rsidR="001129DA" w:rsidRPr="007F407F">
        <w:rPr>
          <w:rFonts w:ascii="Arial" w:hAnsi="Arial" w:cs="Arial"/>
        </w:rPr>
        <w:t xml:space="preserve">vyjádření správce sítě, Vodohospodářské společnosti Sokolov, s.r.o. provedeno na stávající vodovodní řad DN 100 v ulici Jeřabinová a bude navržena samostatná vodovodní přípojka pro každý objekt archivu. </w:t>
      </w:r>
      <w:r w:rsidR="00973B76" w:rsidRPr="007F407F">
        <w:rPr>
          <w:rFonts w:ascii="Arial" w:hAnsi="Arial" w:cs="Arial"/>
        </w:rPr>
        <w:t xml:space="preserve">Zpracování dokumentace bude zahrnovat také </w:t>
      </w:r>
      <w:r w:rsidR="00DC7EE0">
        <w:rPr>
          <w:rFonts w:ascii="Arial" w:hAnsi="Arial" w:cs="Arial"/>
        </w:rPr>
        <w:t>ověření vedení veškerých potřebných</w:t>
      </w:r>
      <w:r w:rsidR="00973B76" w:rsidRPr="007F407F">
        <w:rPr>
          <w:rFonts w:ascii="Arial" w:hAnsi="Arial" w:cs="Arial"/>
        </w:rPr>
        <w:t xml:space="preserve"> příslušných správců sítí, případný nutný stavebně technický průzkum, </w:t>
      </w:r>
      <w:r w:rsidR="001129DA" w:rsidRPr="007F407F">
        <w:rPr>
          <w:rFonts w:ascii="Arial" w:hAnsi="Arial" w:cs="Arial"/>
        </w:rPr>
        <w:t xml:space="preserve">a </w:t>
      </w:r>
      <w:r w:rsidR="00973B76" w:rsidRPr="007F407F">
        <w:rPr>
          <w:rFonts w:ascii="Arial" w:hAnsi="Arial" w:cs="Arial"/>
        </w:rPr>
        <w:t>odsouhlasení zpracované dokumentace s</w:t>
      </w:r>
      <w:r w:rsidR="001129DA" w:rsidRPr="007F407F">
        <w:rPr>
          <w:rFonts w:ascii="Arial" w:hAnsi="Arial" w:cs="Arial"/>
        </w:rPr>
        <w:t> Vodohospodářskou společností Sokolov, s.r.o.</w:t>
      </w:r>
      <w:r w:rsidR="007F407F" w:rsidRPr="007F407F">
        <w:rPr>
          <w:rFonts w:ascii="Arial" w:hAnsi="Arial" w:cs="Arial"/>
        </w:rPr>
        <w:t xml:space="preserve"> </w:t>
      </w:r>
    </w:p>
    <w:p w:rsidR="00D54D5C" w:rsidRPr="00973B76" w:rsidRDefault="00D54D5C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 w:rsidRPr="00973B76">
        <w:rPr>
          <w:rFonts w:ascii="Arial" w:hAnsi="Arial" w:cs="Arial"/>
        </w:rPr>
        <w:t xml:space="preserve">Dokumentace musí splňovat podmínky </w:t>
      </w:r>
      <w:proofErr w:type="gramStart"/>
      <w:r w:rsidRPr="00973B76">
        <w:rPr>
          <w:rFonts w:ascii="Arial" w:hAnsi="Arial" w:cs="Arial"/>
        </w:rPr>
        <w:t>odst.3 §13</w:t>
      </w:r>
      <w:proofErr w:type="gramEnd"/>
      <w:r w:rsidRPr="00973B76">
        <w:rPr>
          <w:rFonts w:ascii="Arial" w:hAnsi="Arial" w:cs="Arial"/>
        </w:rPr>
        <w:t>, zákona č.360/1992 Sb.</w:t>
      </w:r>
      <w:r w:rsidR="00F31029">
        <w:rPr>
          <w:rFonts w:ascii="Arial" w:hAnsi="Arial" w:cs="Arial"/>
        </w:rPr>
        <w:t>,</w:t>
      </w:r>
      <w:r w:rsidRPr="00973B76">
        <w:rPr>
          <w:rFonts w:ascii="Arial" w:hAnsi="Arial" w:cs="Arial"/>
        </w:rPr>
        <w:t xml:space="preserve"> o výkonu povolání autorizovaných inženýrů a techniků činných ve výstavbě – dokumentace musí být autorizována.</w:t>
      </w:r>
    </w:p>
    <w:p w:rsidR="00D54D5C" w:rsidRDefault="00D54D5C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Dokumentace bude zpracována v tištěné podobě v 6 ti kopiích a v jednom vyhotovení v digitální podobě na CD – výkresová dokumentace ve formátu pdf, textová část ve formátu word, soupis prací a položkový výkaz výměr ve formátu excel. Jedno vyhotovení v tištěné i digitální podobě bude obsahovat výkaz výměr s kontrolním položkovým rozpočtem stavby v Kč a jedno vyhotovení bude obsahovat tzv. „slepý“ výkaz výměr. </w:t>
      </w:r>
    </w:p>
    <w:p w:rsidR="00D54D5C" w:rsidRDefault="00D54D5C" w:rsidP="001C708B">
      <w:pPr>
        <w:pStyle w:val="Standar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Navrhované řešení musí respektovat platnou legislativu a technické normy, vztahující se k předmětu plnění této smlouvy o dílo. 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7368D0" w:rsidRPr="00960E46" w:rsidRDefault="007368D0">
      <w:pPr>
        <w:pStyle w:val="Standardntext"/>
        <w:rPr>
          <w:rFonts w:ascii="Arial" w:hAnsi="Arial" w:cs="Arial"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2</w:t>
      </w:r>
      <w:r w:rsidRPr="00960E46">
        <w:rPr>
          <w:rFonts w:ascii="Arial" w:hAnsi="Arial" w:cs="Arial"/>
          <w:b/>
        </w:rPr>
        <w:t xml:space="preserve">. </w:t>
      </w:r>
      <w:r w:rsidR="007D060D">
        <w:rPr>
          <w:rFonts w:ascii="Arial" w:hAnsi="Arial" w:cs="Arial"/>
          <w:b/>
        </w:rPr>
        <w:t>DOBA A</w:t>
      </w:r>
      <w:r w:rsidR="007368D0" w:rsidRPr="00960E46">
        <w:rPr>
          <w:rFonts w:ascii="Arial" w:hAnsi="Arial" w:cs="Arial"/>
          <w:b/>
        </w:rPr>
        <w:t xml:space="preserve"> MÍSTO PLNĚNÍ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předá objednateli předmět plnění</w:t>
      </w:r>
      <w:r w:rsidR="007D060D">
        <w:rPr>
          <w:rFonts w:ascii="Arial" w:hAnsi="Arial" w:cs="Arial"/>
        </w:rPr>
        <w:t xml:space="preserve"> – projektovou dokumentaci pro provádění stavby</w:t>
      </w:r>
      <w:r>
        <w:rPr>
          <w:rFonts w:ascii="Arial" w:hAnsi="Arial" w:cs="Arial"/>
        </w:rPr>
        <w:t xml:space="preserve"> v termínu </w:t>
      </w:r>
      <w:r w:rsidR="00AA4000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 xml:space="preserve">do </w:t>
      </w:r>
      <w:r w:rsidR="00AA40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AA4000">
        <w:rPr>
          <w:rFonts w:ascii="Arial" w:hAnsi="Arial" w:cs="Arial"/>
        </w:rPr>
        <w:t>tý</w:t>
      </w:r>
      <w:r>
        <w:rPr>
          <w:rFonts w:ascii="Arial" w:hAnsi="Arial" w:cs="Arial"/>
        </w:rPr>
        <w:t xml:space="preserve">dnů ode dne podpisu této smlouvy o dílo. </w:t>
      </w:r>
    </w:p>
    <w:p w:rsidR="00DF5B8E" w:rsidRDefault="007F407F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DF5B8E" w:rsidRPr="00960E46">
        <w:rPr>
          <w:rFonts w:ascii="Arial" w:hAnsi="Arial" w:cs="Arial"/>
        </w:rPr>
        <w:t xml:space="preserve">hotovitel předá projektovou dokumentaci osobně objednateli v  jeho sídle v počtu vyhotovení dle </w:t>
      </w:r>
      <w:proofErr w:type="gramStart"/>
      <w:r w:rsidR="00DF5B8E" w:rsidRPr="00960E46">
        <w:rPr>
          <w:rFonts w:ascii="Arial" w:hAnsi="Arial" w:cs="Arial"/>
        </w:rPr>
        <w:t>čl.</w:t>
      </w:r>
      <w:r w:rsidR="009A33A3">
        <w:rPr>
          <w:rFonts w:ascii="Arial" w:hAnsi="Arial" w:cs="Arial"/>
        </w:rPr>
        <w:t>1</w:t>
      </w:r>
      <w:r w:rsidR="00DF5B8E" w:rsidRPr="00960E46">
        <w:rPr>
          <w:rFonts w:ascii="Arial" w:hAnsi="Arial" w:cs="Arial"/>
        </w:rPr>
        <w:t xml:space="preserve"> této</w:t>
      </w:r>
      <w:proofErr w:type="gramEnd"/>
      <w:r w:rsidR="00DF5B8E" w:rsidRPr="00960E46">
        <w:rPr>
          <w:rFonts w:ascii="Arial" w:hAnsi="Arial" w:cs="Arial"/>
        </w:rPr>
        <w:t xml:space="preserve"> smlouvy.</w:t>
      </w:r>
    </w:p>
    <w:p w:rsidR="00DF5B8E" w:rsidRDefault="00DF5B8E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</w:t>
      </w:r>
      <w:r w:rsidR="007D060D">
        <w:rPr>
          <w:rFonts w:ascii="Arial" w:hAnsi="Arial" w:cs="Arial"/>
        </w:rPr>
        <w:t xml:space="preserve">předání dokumentace </w:t>
      </w:r>
      <w:r>
        <w:rPr>
          <w:rFonts w:ascii="Arial" w:hAnsi="Arial" w:cs="Arial"/>
        </w:rPr>
        <w:t>je Státní oblastní archiv v </w:t>
      </w:r>
      <w:proofErr w:type="gramStart"/>
      <w:r>
        <w:rPr>
          <w:rFonts w:ascii="Arial" w:hAnsi="Arial" w:cs="Arial"/>
        </w:rPr>
        <w:t>Plzni, 2.oddělení</w:t>
      </w:r>
      <w:proofErr w:type="gramEnd"/>
      <w:r>
        <w:rPr>
          <w:rFonts w:ascii="Arial" w:hAnsi="Arial" w:cs="Arial"/>
        </w:rPr>
        <w:t xml:space="preserve"> ekonomicko-správní, Kardinála Berana 20, Plzeň. </w:t>
      </w:r>
    </w:p>
    <w:p w:rsidR="007D060D" w:rsidRDefault="007D060D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výkonu autorského dozoru projektanta je Státní okresní archiv </w:t>
      </w:r>
      <w:r w:rsidR="00973B76">
        <w:rPr>
          <w:rFonts w:ascii="Arial" w:hAnsi="Arial" w:cs="Arial"/>
        </w:rPr>
        <w:t>Rokycany, Jeřabinová 1043</w:t>
      </w:r>
      <w:r w:rsidR="007F407F">
        <w:rPr>
          <w:rFonts w:ascii="Arial" w:hAnsi="Arial" w:cs="Arial"/>
        </w:rPr>
        <w:t xml:space="preserve"> a 1044</w:t>
      </w:r>
      <w:r>
        <w:rPr>
          <w:rFonts w:ascii="Arial" w:hAnsi="Arial" w:cs="Arial"/>
        </w:rPr>
        <w:t xml:space="preserve">. </w:t>
      </w:r>
    </w:p>
    <w:p w:rsidR="007D060D" w:rsidRDefault="007D060D" w:rsidP="007D060D">
      <w:pPr>
        <w:pStyle w:val="Standardntex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plnění výkonu autorského dozoru projektanta bude od data předání staveniště dodavatelské firmě </w:t>
      </w:r>
      <w:r w:rsidR="00646C2F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provedení stavby až do ukončení a předání díla objednateli. Výkon autorského dozoru se bude řídit potřebami a postupem prací na stavbě a k jeho plnění objednatel vždy vyzve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 alespoň 3 pracovní dny předem, tele</w:t>
      </w:r>
      <w:r w:rsidR="003A08C8">
        <w:rPr>
          <w:rFonts w:ascii="Arial" w:hAnsi="Arial" w:cs="Arial"/>
        </w:rPr>
        <w:t xml:space="preserve">fonickou nebo emailovou formou na </w:t>
      </w:r>
      <w:r w:rsidR="00973B76">
        <w:rPr>
          <w:rFonts w:ascii="Arial" w:hAnsi="Arial" w:cs="Arial"/>
        </w:rPr>
        <w:t xml:space="preserve">tel. </w:t>
      </w:r>
      <w:r w:rsidR="006A23BB">
        <w:rPr>
          <w:rFonts w:ascii="Arial" w:hAnsi="Arial" w:cs="Arial"/>
        </w:rPr>
        <w:t>……….</w:t>
      </w:r>
      <w:r w:rsidR="007F407F">
        <w:rPr>
          <w:rFonts w:ascii="Arial" w:hAnsi="Arial" w:cs="Arial"/>
        </w:rPr>
        <w:t xml:space="preserve">  </w:t>
      </w:r>
      <w:r w:rsidR="00973B76">
        <w:rPr>
          <w:rFonts w:ascii="Arial" w:hAnsi="Arial" w:cs="Arial"/>
        </w:rPr>
        <w:t>nebo e-mail</w:t>
      </w:r>
      <w:r w:rsidR="007F407F">
        <w:rPr>
          <w:rFonts w:ascii="Arial" w:hAnsi="Arial" w:cs="Arial"/>
        </w:rPr>
        <w:t xml:space="preserve"> </w:t>
      </w:r>
      <w:r w:rsidR="006A23BB">
        <w:rPr>
          <w:rFonts w:ascii="Arial" w:hAnsi="Arial" w:cs="Arial"/>
        </w:rPr>
        <w:t>………</w:t>
      </w:r>
      <w:proofErr w:type="gramStart"/>
      <w:r w:rsidR="006A23BB">
        <w:rPr>
          <w:rFonts w:ascii="Arial" w:hAnsi="Arial" w:cs="Arial"/>
        </w:rPr>
        <w:t>…..</w:t>
      </w:r>
      <w:r w:rsidR="00973B76">
        <w:rPr>
          <w:rFonts w:ascii="Arial" w:hAnsi="Arial" w:cs="Arial"/>
        </w:rPr>
        <w:t>.</w:t>
      </w:r>
      <w:proofErr w:type="gramEnd"/>
    </w:p>
    <w:p w:rsidR="006E065A" w:rsidRDefault="006E065A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3A08C8">
        <w:rPr>
          <w:rFonts w:ascii="Arial" w:hAnsi="Arial" w:cs="Arial"/>
          <w:b/>
        </w:rPr>
        <w:t>3</w:t>
      </w:r>
      <w:r w:rsidRPr="00960E46">
        <w:rPr>
          <w:rFonts w:ascii="Arial" w:hAnsi="Arial" w:cs="Arial"/>
          <w:b/>
        </w:rPr>
        <w:t>. CENA DÍLA</w:t>
      </w:r>
    </w:p>
    <w:p w:rsidR="003A08C8" w:rsidRDefault="003A08C8" w:rsidP="007368D0">
      <w:pPr>
        <w:pStyle w:val="Standardntext"/>
        <w:jc w:val="center"/>
        <w:rPr>
          <w:rFonts w:ascii="Arial" w:hAnsi="Arial" w:cs="Arial"/>
          <w:b/>
        </w:rPr>
      </w:pPr>
    </w:p>
    <w:p w:rsidR="003A08C8" w:rsidRDefault="003A08C8" w:rsidP="003A08C8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 souladu s ustanovením § 2 zákona o cenách č.526/1990 Sb.</w:t>
      </w:r>
      <w:r w:rsidR="006119F0">
        <w:rPr>
          <w:rFonts w:ascii="Arial" w:hAnsi="Arial" w:cs="Arial"/>
        </w:rPr>
        <w:t>, ve znění pozdějších předpisů</w:t>
      </w:r>
      <w:r w:rsidRPr="00960E46">
        <w:rPr>
          <w:rFonts w:ascii="Arial" w:hAnsi="Arial" w:cs="Arial"/>
        </w:rPr>
        <w:t xml:space="preserve">, byla </w:t>
      </w:r>
      <w:r w:rsidR="0041649B">
        <w:rPr>
          <w:rFonts w:ascii="Arial" w:hAnsi="Arial" w:cs="Arial"/>
        </w:rPr>
        <w:t xml:space="preserve">cena </w:t>
      </w:r>
      <w:r w:rsidRPr="00960E46">
        <w:rPr>
          <w:rFonts w:ascii="Arial" w:hAnsi="Arial" w:cs="Arial"/>
        </w:rPr>
        <w:t xml:space="preserve">sjednána dohodou </w:t>
      </w:r>
      <w:r w:rsidR="006119F0">
        <w:rPr>
          <w:rFonts w:ascii="Arial" w:hAnsi="Arial" w:cs="Arial"/>
        </w:rPr>
        <w:t>smluvních stran na základě nabídkové ceny zhotovitele</w:t>
      </w:r>
      <w:r w:rsidRPr="00960E46">
        <w:rPr>
          <w:rFonts w:ascii="Arial" w:hAnsi="Arial" w:cs="Arial"/>
        </w:rPr>
        <w:t xml:space="preserve"> za provedení díla v rozsahu předmětu této smlouvy </w:t>
      </w:r>
      <w:r w:rsidR="004F56F0">
        <w:rPr>
          <w:rFonts w:ascii="Arial" w:hAnsi="Arial" w:cs="Arial"/>
        </w:rPr>
        <w:t xml:space="preserve">v českých korunách </w:t>
      </w:r>
      <w:r w:rsidRPr="00960E46">
        <w:rPr>
          <w:rFonts w:ascii="Arial" w:hAnsi="Arial" w:cs="Arial"/>
        </w:rPr>
        <w:t>ve výši:</w:t>
      </w:r>
    </w:p>
    <w:p w:rsidR="00DE0FCF" w:rsidRDefault="00DE0FCF" w:rsidP="00DE0FCF">
      <w:pPr>
        <w:pStyle w:val="Standardntext"/>
        <w:jc w:val="both"/>
        <w:rPr>
          <w:rFonts w:ascii="Arial" w:hAnsi="Arial" w:cs="Arial"/>
        </w:rPr>
      </w:pP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kompletní zpracování projektové dokumentace pro provedení stavby bez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Sazba výše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kompletní zpracování projektové dokumentace pro provedení stavby včetně DPH: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jednu hodinu autorského dozoru projektanta včetně nákladů na dopravu a případných dalších nákladů bez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Sazba výše DPH:</w:t>
      </w:r>
    </w:p>
    <w:p w:rsidR="003A08C8" w:rsidRDefault="003A08C8" w:rsidP="00DE0FCF">
      <w:pPr>
        <w:pStyle w:val="Standardntex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za jednu hodinu autorského dozoru projektanta včetně nákladů na dopravu a případných dalších nákladů včetně DPH:</w:t>
      </w:r>
    </w:p>
    <w:p w:rsidR="00DD6CE0" w:rsidRDefault="00DD6CE0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DD6CE0" w:rsidRDefault="00DD6CE0" w:rsidP="00DD6CE0">
      <w:pPr>
        <w:pStyle w:val="Standardntex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je sjednána jako cena nejvýše přípustná se započetím veškerých předpokládaných nákladů, prací, rizik a zisku zhotovitele a pokrývá veškerá plnění zhotovitele, dodávky, poplatky a jiné náklady nezbytné pro řádné a úplné provedení díla a splnění podmínek této smlouvy. 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3A08C8" w:rsidRPr="00E35B3C" w:rsidRDefault="00E35B3C" w:rsidP="003A08C8">
      <w:pPr>
        <w:pStyle w:val="Standardntext"/>
        <w:jc w:val="center"/>
        <w:rPr>
          <w:rFonts w:ascii="Arial" w:hAnsi="Arial" w:cs="Arial"/>
          <w:b/>
          <w:szCs w:val="24"/>
        </w:rPr>
      </w:pPr>
      <w:r w:rsidRPr="00E35B3C">
        <w:rPr>
          <w:rFonts w:ascii="Arial" w:hAnsi="Arial" w:cs="Arial"/>
          <w:b/>
          <w:szCs w:val="24"/>
        </w:rPr>
        <w:t>čl</w:t>
      </w:r>
      <w:r w:rsidR="003A08C8" w:rsidRPr="00E35B3C">
        <w:rPr>
          <w:rFonts w:ascii="Arial" w:hAnsi="Arial" w:cs="Arial"/>
          <w:b/>
          <w:szCs w:val="24"/>
        </w:rPr>
        <w:t>. 4. PLATEBNÍ PODMÍNKY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4C13EB" w:rsidRDefault="003A08C8" w:rsidP="004C13EB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záloh není přípustné. Platby za předmět plnění budou realizovány po protokolárním předání jednotlivých částí předmětu smlouvy. </w:t>
      </w:r>
      <w:r w:rsidR="004C13EB">
        <w:rPr>
          <w:rFonts w:ascii="Arial" w:hAnsi="Arial" w:cs="Arial"/>
        </w:rPr>
        <w:t xml:space="preserve">Daňový doklad za výkon autorského dozoru bude obsahovat odsouhlasený výkaz počtu hodin prováděného autorského dozoru. </w:t>
      </w:r>
    </w:p>
    <w:p w:rsidR="003A08C8" w:rsidRDefault="003A08C8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splatnosti daňového dokladu bude </w:t>
      </w:r>
      <w:r w:rsidR="009E232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kalendářních dnů od data jejich prokazatelného doručení objednateli na adresu jeho sídla Sedláčkova 44, 306 12 Plzeň. </w:t>
      </w:r>
    </w:p>
    <w:p w:rsidR="00946FDF" w:rsidRDefault="00946FDF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 w:rsidRPr="00946FDF">
        <w:rPr>
          <w:rFonts w:ascii="Arial" w:hAnsi="Arial" w:cs="Arial"/>
        </w:rPr>
        <w:t>Daňový doklad musí obsahovat náležitosti dle § 29 zákona č. 235/2004 Sb., o dani z přidané hodnoty, ve znění pozdějších předpisů.</w:t>
      </w:r>
    </w:p>
    <w:p w:rsidR="00E35B3C" w:rsidRDefault="00E35B3C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Daňový doklad se považuje za proplacený okamžikem odepsání fakturované částky z účtu objednatele ve prospěch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 xml:space="preserve">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Objednatel není v prodlení s placením fakturovaných částek, jestliže vrátí daňový doklad </w:t>
      </w:r>
      <w:r w:rsidR="00646C2F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 do 7 kalendářních dnů od jeho doručení proto, že obsahuje nesprávné údaje nebo byl vystaven v rozporu se smlouvou. Konkrétní důvody je objednatel povinen uvést zároveň s vrácením daňového dokladu. </w:t>
      </w:r>
    </w:p>
    <w:p w:rsidR="007F34AD" w:rsidRDefault="007F34AD" w:rsidP="00E35B3C">
      <w:pPr>
        <w:pStyle w:val="Standardntex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Nebude-li daňový doklad označen tak, jak je výše uvedeno, je objednatel oprávněn vrátit jej </w:t>
      </w:r>
      <w:r w:rsidR="000C643B">
        <w:rPr>
          <w:rFonts w:ascii="Arial" w:hAnsi="Arial" w:cs="Arial"/>
        </w:rPr>
        <w:t>zhotoviteli</w:t>
      </w:r>
      <w:r>
        <w:rPr>
          <w:rFonts w:ascii="Arial" w:hAnsi="Arial" w:cs="Arial"/>
        </w:rPr>
        <w:t xml:space="preserve">, aniž by se tím dostal do prodlení s jeho splatností. U nového nebo opraveného daňového dokladu běží nová lhůta splatnosti. </w:t>
      </w:r>
    </w:p>
    <w:p w:rsidR="003A08C8" w:rsidRDefault="003A08C8" w:rsidP="003A08C8">
      <w:pPr>
        <w:pStyle w:val="Standardntext"/>
        <w:ind w:left="720"/>
        <w:jc w:val="both"/>
        <w:rPr>
          <w:rFonts w:ascii="Arial" w:hAnsi="Arial" w:cs="Arial"/>
        </w:rPr>
      </w:pPr>
    </w:p>
    <w:p w:rsidR="00C54E6E" w:rsidRDefault="005453FA" w:rsidP="005453FA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7F34AD">
        <w:rPr>
          <w:rFonts w:ascii="Arial" w:hAnsi="Arial" w:cs="Arial"/>
          <w:b/>
        </w:rPr>
        <w:t>5</w:t>
      </w:r>
      <w:r w:rsidRPr="00960E46">
        <w:rPr>
          <w:rFonts w:ascii="Arial" w:hAnsi="Arial" w:cs="Arial"/>
          <w:b/>
        </w:rPr>
        <w:t>. SMLUVNÍ POKUTY</w:t>
      </w:r>
    </w:p>
    <w:p w:rsidR="008D11BF" w:rsidRDefault="008D11BF" w:rsidP="005453FA">
      <w:pPr>
        <w:pStyle w:val="Standardntext"/>
        <w:jc w:val="center"/>
        <w:rPr>
          <w:rFonts w:ascii="Arial" w:hAnsi="Arial" w:cs="Arial"/>
          <w:b/>
        </w:rPr>
      </w:pPr>
    </w:p>
    <w:p w:rsidR="008D11BF" w:rsidRPr="00555FEE" w:rsidRDefault="008D11BF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 nesplnění termínu plnění ze strany </w:t>
      </w:r>
      <w:r w:rsidR="000C643B">
        <w:rPr>
          <w:rFonts w:ascii="Arial" w:hAnsi="Arial" w:cs="Arial"/>
        </w:rPr>
        <w:t>zhotovitele</w:t>
      </w:r>
      <w:r>
        <w:rPr>
          <w:rFonts w:ascii="Arial" w:hAnsi="Arial" w:cs="Arial"/>
        </w:rPr>
        <w:t>, uvedeného v </w:t>
      </w:r>
      <w:proofErr w:type="gramStart"/>
      <w:r>
        <w:rPr>
          <w:rFonts w:ascii="Arial" w:hAnsi="Arial" w:cs="Arial"/>
        </w:rPr>
        <w:t>čl.</w:t>
      </w:r>
      <w:r w:rsidR="00555FEE">
        <w:rPr>
          <w:rFonts w:ascii="Arial" w:hAnsi="Arial" w:cs="Arial"/>
        </w:rPr>
        <w:t>2 této</w:t>
      </w:r>
      <w:proofErr w:type="gramEnd"/>
      <w:r w:rsidR="00555FEE">
        <w:rPr>
          <w:rFonts w:ascii="Arial" w:hAnsi="Arial" w:cs="Arial"/>
        </w:rPr>
        <w:t xml:space="preserve"> smlouvy, je </w:t>
      </w:r>
      <w:r w:rsidR="000C643B">
        <w:rPr>
          <w:rFonts w:ascii="Arial" w:hAnsi="Arial" w:cs="Arial"/>
        </w:rPr>
        <w:t>zhotovitel</w:t>
      </w:r>
      <w:r w:rsidR="00555FEE">
        <w:rPr>
          <w:rFonts w:ascii="Arial" w:hAnsi="Arial" w:cs="Arial"/>
        </w:rPr>
        <w:t xml:space="preserve"> povinen zaplatit objednateli smluvní pokutu ve výši 0,5% z celkové ceny díla včetně DPH za každý započatý den prodlení. </w:t>
      </w:r>
    </w:p>
    <w:p w:rsidR="00555FEE" w:rsidRPr="00DE0FCF" w:rsidRDefault="00555FEE" w:rsidP="008D11BF">
      <w:pPr>
        <w:pStyle w:val="Standardntex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případě, že bude objednatel v prodlení s úhradou </w:t>
      </w:r>
      <w:r w:rsidR="000C643B">
        <w:rPr>
          <w:rFonts w:ascii="Arial" w:hAnsi="Arial" w:cs="Arial"/>
        </w:rPr>
        <w:t xml:space="preserve">faktury, je povinen uhradit zhotoviteli smluvní pokutu ve výši 0,5 % z dlužné částky včetně DPH za každý den prodlení. </w:t>
      </w:r>
    </w:p>
    <w:p w:rsidR="00DE0FCF" w:rsidRPr="00960E46" w:rsidRDefault="00DE0FCF" w:rsidP="00DE0FCF">
      <w:pPr>
        <w:pStyle w:val="Standardntext"/>
        <w:jc w:val="both"/>
        <w:rPr>
          <w:rFonts w:ascii="Arial" w:hAnsi="Arial" w:cs="Arial"/>
          <w:b/>
        </w:rPr>
      </w:pPr>
    </w:p>
    <w:p w:rsidR="00C54E6E" w:rsidRPr="00960E46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 xml:space="preserve">čl. </w:t>
      </w:r>
      <w:r w:rsidR="000C643B">
        <w:rPr>
          <w:rFonts w:ascii="Arial" w:hAnsi="Arial" w:cs="Arial"/>
          <w:b/>
        </w:rPr>
        <w:t>6</w:t>
      </w:r>
      <w:r w:rsidRPr="00960E46">
        <w:rPr>
          <w:rFonts w:ascii="Arial" w:hAnsi="Arial" w:cs="Arial"/>
          <w:b/>
        </w:rPr>
        <w:t>. ZÁRUKA, DOBA ODPOVĚDNOSTI ZA VADY,</w:t>
      </w:r>
    </w:p>
    <w:p w:rsidR="00C54E6E" w:rsidRDefault="00C54E6E" w:rsidP="007368D0">
      <w:pPr>
        <w:pStyle w:val="Standardntext"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t>NÁHRADA ŠKODY</w:t>
      </w:r>
    </w:p>
    <w:p w:rsidR="00DE0FCF" w:rsidRPr="00960E46" w:rsidRDefault="00DE0FCF" w:rsidP="007368D0">
      <w:pPr>
        <w:pStyle w:val="Standardntext"/>
        <w:jc w:val="center"/>
        <w:rPr>
          <w:rFonts w:ascii="Arial" w:hAnsi="Arial" w:cs="Arial"/>
          <w:b/>
        </w:rPr>
      </w:pPr>
    </w:p>
    <w:p w:rsidR="00C54E6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odpovídá za to, že předaná projektová dokumentace je vypracovaná podle příslušných ČSN, EN a dalších předpisů a že má vlastnosti pro tuto projektovou dokumentaci obvyklé.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poskytuje na předmět díla dle této smlouvy záruku v trvání 60 měsíců. Záruční doba začíná běžet dnem předání a převzetí předmětu díla objednatelem.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má z titulu odpovědnosti zhotovitele za vady právo na bezplatné odstranění vad projektové dokumentace.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Vady projektové dokumentace zjištěné během záruční doby je zhotovitel povinen odstranit na základě písemného oznámení vad objednatelem, a to nejpozději ve lhůtě do </w:t>
      </w:r>
      <w:r w:rsidR="00646C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dnů ode dne písemného oznámení objednatelem. Za každý i započatý den prodlení s odstraněním vady je zhotovitel povinen zaplatit objednateli smluvní pokutu ve výši 1 000,- Kč.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přitom neodpovídá za vady, které mají původ v podkladech objednatele nebo spočívají v jeho nevhodných pokynech, na jejichž dodržení i přes zhotovitelovo upozornění pro jejich nevhodnost trval.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pokuta nemá vliv na náhradu škody vzniklou nesplněním smluvní povinnosti, v důsledku které škoda vznikla. </w:t>
      </w:r>
    </w:p>
    <w:p w:rsidR="00234A5E" w:rsidRDefault="00234A5E" w:rsidP="00234A5E">
      <w:pPr>
        <w:pStyle w:val="Standardntext"/>
        <w:numPr>
          <w:ilvl w:val="0"/>
          <w:numId w:val="13"/>
        </w:numPr>
        <w:jc w:val="both"/>
        <w:rPr>
          <w:rFonts w:ascii="Arial" w:hAnsi="Arial" w:cs="Arial"/>
        </w:rPr>
      </w:pPr>
      <w:r w:rsidRPr="00234A5E">
        <w:rPr>
          <w:rFonts w:ascii="Arial" w:hAnsi="Arial" w:cs="Arial"/>
        </w:rPr>
        <w:t xml:space="preserve">V případě, že v </w:t>
      </w:r>
      <w:r w:rsidR="00DD6CE0">
        <w:rPr>
          <w:rFonts w:ascii="Arial" w:hAnsi="Arial" w:cs="Arial"/>
        </w:rPr>
        <w:t>d</w:t>
      </w:r>
      <w:r w:rsidRPr="00234A5E">
        <w:rPr>
          <w:rFonts w:ascii="Arial" w:hAnsi="Arial" w:cs="Arial"/>
        </w:rPr>
        <w:t>ůsledku vady projektové dokumentace bude způsobena objednateli škoda (zejména v důsledku nekompletnosti dokumentace, jakýchkoli technických chyb v ní uvedených a majících vliv na technologické a finanční procesy v průběhu vlastní realizace díla), zavazuje se tuto škodu zhotovitel objednateli uhradit do 30 dnů od doručení písemného vyčíslení škody, způsobené objednateli. V pochybnostech se má za to, že vyčíslení škody způsobené objednateli bylo doručeno zhotoviteli třetí den po datu jeho odeslání.</w:t>
      </w:r>
    </w:p>
    <w:p w:rsidR="00234A5E" w:rsidRDefault="00234A5E">
      <w:pPr>
        <w:pStyle w:val="Standardntext"/>
        <w:rPr>
          <w:rFonts w:ascii="Arial" w:hAnsi="Arial" w:cs="Arial"/>
        </w:rPr>
      </w:pPr>
    </w:p>
    <w:p w:rsidR="00C54E6E" w:rsidRDefault="00C54E6E" w:rsidP="00312591">
      <w:pPr>
        <w:pStyle w:val="Standardntext"/>
        <w:keepNext/>
        <w:jc w:val="center"/>
        <w:rPr>
          <w:rFonts w:ascii="Arial" w:hAnsi="Arial" w:cs="Arial"/>
          <w:b/>
        </w:rPr>
      </w:pPr>
      <w:r w:rsidRPr="00960E46">
        <w:rPr>
          <w:rFonts w:ascii="Arial" w:hAnsi="Arial" w:cs="Arial"/>
          <w:b/>
        </w:rPr>
        <w:lastRenderedPageBreak/>
        <w:t xml:space="preserve">čl. </w:t>
      </w:r>
      <w:r w:rsidR="00234A5E">
        <w:rPr>
          <w:rFonts w:ascii="Arial" w:hAnsi="Arial" w:cs="Arial"/>
          <w:b/>
        </w:rPr>
        <w:t>7</w:t>
      </w:r>
      <w:r w:rsidRPr="00960E46">
        <w:rPr>
          <w:rFonts w:ascii="Arial" w:hAnsi="Arial" w:cs="Arial"/>
          <w:b/>
        </w:rPr>
        <w:t xml:space="preserve">. </w:t>
      </w:r>
      <w:r w:rsidR="009E3FFB" w:rsidRPr="00960E46">
        <w:rPr>
          <w:rFonts w:ascii="Arial" w:hAnsi="Arial" w:cs="Arial"/>
          <w:b/>
        </w:rPr>
        <w:t>Z</w:t>
      </w:r>
      <w:r w:rsidR="009E3FFB">
        <w:rPr>
          <w:rFonts w:ascii="Arial" w:hAnsi="Arial" w:cs="Arial"/>
          <w:b/>
        </w:rPr>
        <w:t>ÁVĚREČNÁ USTANOVENÍ</w:t>
      </w:r>
      <w:bookmarkStart w:id="0" w:name="_GoBack"/>
      <w:bookmarkEnd w:id="0"/>
    </w:p>
    <w:p w:rsidR="00234A5E" w:rsidRDefault="00234A5E" w:rsidP="00312591">
      <w:pPr>
        <w:pStyle w:val="Standardntext"/>
        <w:keepNext/>
        <w:jc w:val="center"/>
        <w:rPr>
          <w:rFonts w:ascii="Arial" w:hAnsi="Arial" w:cs="Arial"/>
          <w:b/>
        </w:rPr>
      </w:pPr>
    </w:p>
    <w:p w:rsidR="00234A5E" w:rsidRDefault="00234A5E" w:rsidP="00234A5E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2</w:t>
      </w:r>
      <w:r w:rsidRPr="00960E46">
        <w:rPr>
          <w:rFonts w:ascii="Arial" w:hAnsi="Arial" w:cs="Arial"/>
        </w:rPr>
        <w:t xml:space="preserve"> stejnopisech, z nichž </w:t>
      </w:r>
      <w:r w:rsidR="00DD6CE0">
        <w:rPr>
          <w:rFonts w:ascii="Arial" w:hAnsi="Arial" w:cs="Arial"/>
        </w:rPr>
        <w:t>k</w:t>
      </w:r>
      <w:r w:rsidRPr="00960E46">
        <w:rPr>
          <w:rFonts w:ascii="Arial" w:hAnsi="Arial" w:cs="Arial"/>
        </w:rPr>
        <w:t>aždý stejnopis má platnost originálu.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Veškeré změny, vyplývající z obsahu závazku budou řešeny dohodou smluvních stran uzavřenou písemnými dodatky k této smlouvě.</w:t>
      </w:r>
    </w:p>
    <w:p w:rsidR="00B224E7" w:rsidRPr="00960E46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Vztahy, vyplývající z této smlouvy a jí výslovně neřešené, se řídí příslušnými ustanoveními zákona č.</w:t>
      </w:r>
      <w:r w:rsidR="00F275FE">
        <w:rPr>
          <w:rFonts w:ascii="Arial" w:hAnsi="Arial" w:cs="Arial"/>
        </w:rPr>
        <w:t>89/2012 S</w:t>
      </w:r>
      <w:r w:rsidRPr="00960E46">
        <w:rPr>
          <w:rFonts w:ascii="Arial" w:hAnsi="Arial" w:cs="Arial"/>
        </w:rPr>
        <w:t>b., Ob</w:t>
      </w:r>
      <w:r w:rsidR="00F275FE">
        <w:rPr>
          <w:rFonts w:ascii="Arial" w:hAnsi="Arial" w:cs="Arial"/>
        </w:rPr>
        <w:t>čanský</w:t>
      </w:r>
      <w:r>
        <w:rPr>
          <w:rFonts w:ascii="Arial" w:hAnsi="Arial" w:cs="Arial"/>
        </w:rPr>
        <w:t xml:space="preserve"> zákoník,</w:t>
      </w:r>
      <w:r w:rsidRPr="00960E46">
        <w:rPr>
          <w:rFonts w:ascii="Arial" w:hAnsi="Arial" w:cs="Arial"/>
        </w:rPr>
        <w:t xml:space="preserve"> v</w:t>
      </w:r>
      <w:r w:rsidR="00F275FE">
        <w:rPr>
          <w:rFonts w:ascii="Arial" w:hAnsi="Arial" w:cs="Arial"/>
        </w:rPr>
        <w:t> platném znění</w:t>
      </w:r>
      <w:r w:rsidRPr="00960E46">
        <w:rPr>
          <w:rFonts w:ascii="Arial" w:hAnsi="Arial" w:cs="Arial"/>
        </w:rPr>
        <w:t>.</w:t>
      </w:r>
    </w:p>
    <w:p w:rsidR="00B224E7" w:rsidRDefault="00B224E7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 w:rsidRPr="00960E46">
        <w:rPr>
          <w:rFonts w:ascii="Arial" w:hAnsi="Arial" w:cs="Arial"/>
        </w:rPr>
        <w:t>Práva a povinnosti, vyplývající z této smlouvy, přecházejí na případné právní nástupce obou smluvních stran.</w:t>
      </w:r>
    </w:p>
    <w:p w:rsidR="009E3FFB" w:rsidRDefault="009E3FFB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</w:t>
      </w:r>
      <w:r w:rsidR="006A0650">
        <w:rPr>
          <w:rFonts w:ascii="Arial" w:hAnsi="Arial" w:cs="Arial"/>
        </w:rPr>
        <w:t xml:space="preserve">že předem souhlasí, v souladu se zněním zákona č.106/1999 Sb., o svobodném přístupu k informacím, s možným zpřístupněním nebo zveřejněním </w:t>
      </w:r>
      <w:r>
        <w:rPr>
          <w:rFonts w:ascii="Arial" w:hAnsi="Arial" w:cs="Arial"/>
        </w:rPr>
        <w:t xml:space="preserve">celé této smlouvy v jejím plném znění. </w:t>
      </w:r>
    </w:p>
    <w:p w:rsidR="007D1804" w:rsidRDefault="007D1804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může být změněna pouze dohodou smluvních stran formou písemného dodatku. </w:t>
      </w:r>
    </w:p>
    <w:p w:rsidR="009E3FFB" w:rsidRPr="00960E46" w:rsidRDefault="009E3FFB" w:rsidP="00B224E7">
      <w:pPr>
        <w:pStyle w:val="Standardntex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po přečtení této smlouvy prohlašují, že souhlasí s jejím obsahem bez výhrady a na důkaz toho ji níže podepisují. </w:t>
      </w:r>
    </w:p>
    <w:p w:rsidR="00BF61F8" w:rsidRPr="00960E46" w:rsidRDefault="00BF61F8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9F2ACE" w:rsidRPr="00960E46" w:rsidRDefault="009F2AC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V</w:t>
      </w:r>
      <w:r w:rsidR="0048384F">
        <w:rPr>
          <w:rFonts w:ascii="Arial" w:hAnsi="Arial" w:cs="Arial"/>
        </w:rPr>
        <w:t> </w:t>
      </w:r>
      <w:r w:rsidRPr="00960E46">
        <w:rPr>
          <w:rFonts w:ascii="Arial" w:hAnsi="Arial" w:cs="Arial"/>
        </w:rPr>
        <w:t>P</w:t>
      </w:r>
      <w:r w:rsidR="0048384F">
        <w:rPr>
          <w:rFonts w:ascii="Arial" w:hAnsi="Arial" w:cs="Arial"/>
        </w:rPr>
        <w:t xml:space="preserve">lzni </w:t>
      </w:r>
      <w:r w:rsidR="009F2ACE" w:rsidRPr="00960E46">
        <w:rPr>
          <w:rFonts w:ascii="Arial" w:hAnsi="Arial" w:cs="Arial"/>
        </w:rPr>
        <w:t xml:space="preserve">dne </w:t>
      </w:r>
    </w:p>
    <w:p w:rsidR="00DC1A57" w:rsidRPr="00960E46" w:rsidRDefault="00DC1A57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C54E6E">
      <w:pPr>
        <w:pStyle w:val="Standardntext"/>
        <w:rPr>
          <w:rFonts w:ascii="Arial" w:hAnsi="Arial" w:cs="Arial"/>
        </w:rPr>
      </w:pPr>
    </w:p>
    <w:p w:rsidR="00C54E6E" w:rsidRPr="00960E46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</w:t>
      </w:r>
      <w:r w:rsidR="001C6645">
        <w:rPr>
          <w:rFonts w:ascii="Arial" w:hAnsi="Arial" w:cs="Arial"/>
        </w:rPr>
        <w:t>…………………………………………….</w:t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</w:r>
      <w:r w:rsidR="001C6645">
        <w:rPr>
          <w:rFonts w:ascii="Arial" w:hAnsi="Arial" w:cs="Arial"/>
        </w:rPr>
        <w:tab/>
        <w:t>…………………………..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  </w:t>
      </w:r>
      <w:r w:rsidR="00DC1A57" w:rsidRPr="00960E46">
        <w:rPr>
          <w:rFonts w:ascii="Arial" w:hAnsi="Arial" w:cs="Arial"/>
        </w:rPr>
        <w:t xml:space="preserve">     </w:t>
      </w:r>
      <w:r w:rsidRPr="00960E46">
        <w:rPr>
          <w:rFonts w:ascii="Arial" w:hAnsi="Arial" w:cs="Arial"/>
        </w:rPr>
        <w:t xml:space="preserve">Za objednatele:                                    </w:t>
      </w:r>
      <w:r w:rsidR="00DC1A57" w:rsidRPr="00960E46">
        <w:rPr>
          <w:rFonts w:ascii="Arial" w:hAnsi="Arial" w:cs="Arial"/>
        </w:rPr>
        <w:t xml:space="preserve">                           </w:t>
      </w:r>
      <w:r w:rsidRPr="00960E46">
        <w:rPr>
          <w:rFonts w:ascii="Arial" w:hAnsi="Arial" w:cs="Arial"/>
        </w:rPr>
        <w:t>Za zhotovitele:</w:t>
      </w:r>
    </w:p>
    <w:p w:rsidR="00800CAD" w:rsidRDefault="00DC1A57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    </w:t>
      </w:r>
      <w:r w:rsidR="00B224E7">
        <w:rPr>
          <w:rFonts w:ascii="Arial" w:hAnsi="Arial" w:cs="Arial"/>
        </w:rPr>
        <w:t xml:space="preserve">     Mgr. Petr Hubka</w:t>
      </w:r>
      <w:r w:rsidR="00C54E6E" w:rsidRPr="00960E46">
        <w:rPr>
          <w:rFonts w:ascii="Arial" w:hAnsi="Arial" w:cs="Arial"/>
        </w:rPr>
        <w:t xml:space="preserve">                                              </w:t>
      </w:r>
    </w:p>
    <w:p w:rsidR="00C54E6E" w:rsidRPr="00960E46" w:rsidRDefault="00C54E6E">
      <w:pPr>
        <w:pStyle w:val="Standardntext"/>
        <w:rPr>
          <w:rFonts w:ascii="Arial" w:hAnsi="Arial" w:cs="Arial"/>
        </w:rPr>
      </w:pPr>
      <w:r w:rsidRPr="00960E46">
        <w:rPr>
          <w:rFonts w:ascii="Arial" w:hAnsi="Arial" w:cs="Arial"/>
        </w:rPr>
        <w:t xml:space="preserve">ředitel </w:t>
      </w:r>
      <w:r w:rsidR="00B224E7">
        <w:rPr>
          <w:rFonts w:ascii="Arial" w:hAnsi="Arial" w:cs="Arial"/>
        </w:rPr>
        <w:t>Státního oblastního archivu</w:t>
      </w:r>
      <w:r w:rsidRPr="00960E46">
        <w:rPr>
          <w:rFonts w:ascii="Arial" w:hAnsi="Arial" w:cs="Arial"/>
        </w:rPr>
        <w:t xml:space="preserve"> </w:t>
      </w:r>
      <w:r w:rsidR="00800CAD">
        <w:rPr>
          <w:rFonts w:ascii="Arial" w:hAnsi="Arial" w:cs="Arial"/>
        </w:rPr>
        <w:t>v Plzni</w:t>
      </w:r>
      <w:r w:rsidRPr="00960E46">
        <w:rPr>
          <w:rFonts w:ascii="Arial" w:hAnsi="Arial" w:cs="Arial"/>
        </w:rPr>
        <w:t xml:space="preserve">                   </w:t>
      </w:r>
      <w:r w:rsidR="00B224E7">
        <w:rPr>
          <w:rFonts w:ascii="Arial" w:hAnsi="Arial" w:cs="Arial"/>
        </w:rPr>
        <w:t xml:space="preserve">                         </w:t>
      </w:r>
    </w:p>
    <w:sectPr w:rsidR="00C54E6E" w:rsidRPr="00960E46" w:rsidSect="006319A4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DD" w:rsidRDefault="009907DD">
      <w:r>
        <w:separator/>
      </w:r>
    </w:p>
  </w:endnote>
  <w:endnote w:type="continuationSeparator" w:id="0">
    <w:p w:rsidR="009907DD" w:rsidRDefault="0099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5D" w:rsidRDefault="007A155D" w:rsidP="009F2A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2591">
      <w:rPr>
        <w:rStyle w:val="slostrnky"/>
        <w:noProof/>
      </w:rPr>
      <w:t>1</w:t>
    </w:r>
    <w:r>
      <w:rPr>
        <w:rStyle w:val="slostrnky"/>
      </w:rPr>
      <w:fldChar w:fldCharType="end"/>
    </w:r>
  </w:p>
  <w:p w:rsidR="007A155D" w:rsidRDefault="007A155D" w:rsidP="007368D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DD" w:rsidRDefault="009907DD">
      <w:r>
        <w:separator/>
      </w:r>
    </w:p>
  </w:footnote>
  <w:footnote w:type="continuationSeparator" w:id="0">
    <w:p w:rsidR="009907DD" w:rsidRDefault="0099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569"/>
        </w:tabs>
        <w:ind w:left="156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852"/>
        </w:tabs>
        <w:ind w:left="185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2135"/>
        </w:tabs>
        <w:ind w:left="213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18"/>
        </w:tabs>
        <w:ind w:left="241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701"/>
        </w:tabs>
        <w:ind w:left="270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984"/>
        </w:tabs>
        <w:ind w:left="298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67"/>
        </w:tabs>
        <w:ind w:left="326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550"/>
        </w:tabs>
        <w:ind w:left="355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833"/>
        </w:tabs>
        <w:ind w:left="383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D90F27"/>
    <w:multiLevelType w:val="hybridMultilevel"/>
    <w:tmpl w:val="A162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43494"/>
    <w:multiLevelType w:val="hybridMultilevel"/>
    <w:tmpl w:val="BDDADA84"/>
    <w:lvl w:ilvl="0" w:tplc="10BA2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D09D0"/>
    <w:multiLevelType w:val="hybridMultilevel"/>
    <w:tmpl w:val="F11C66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013AC"/>
    <w:multiLevelType w:val="hybridMultilevel"/>
    <w:tmpl w:val="D76025F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B6B3D"/>
    <w:multiLevelType w:val="hybridMultilevel"/>
    <w:tmpl w:val="87881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63C2"/>
    <w:multiLevelType w:val="hybridMultilevel"/>
    <w:tmpl w:val="4F3893BE"/>
    <w:lvl w:ilvl="0" w:tplc="6C06BD0E">
      <w:start w:val="3"/>
      <w:numFmt w:val="bullet"/>
      <w:lvlText w:val="-"/>
      <w:lvlJc w:val="left"/>
      <w:pPr>
        <w:tabs>
          <w:tab w:val="num" w:pos="718"/>
        </w:tabs>
        <w:ind w:left="718" w:hanging="43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6CDE44EF"/>
    <w:multiLevelType w:val="hybridMultilevel"/>
    <w:tmpl w:val="7F206E08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76A88"/>
    <w:multiLevelType w:val="hybridMultilevel"/>
    <w:tmpl w:val="4BCAD9A2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E65E2"/>
    <w:multiLevelType w:val="hybridMultilevel"/>
    <w:tmpl w:val="C2302FC0"/>
    <w:lvl w:ilvl="0" w:tplc="10BA2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A606D"/>
    <w:multiLevelType w:val="hybridMultilevel"/>
    <w:tmpl w:val="1402E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C"/>
    <w:rsid w:val="00025D03"/>
    <w:rsid w:val="000679EC"/>
    <w:rsid w:val="00077C3E"/>
    <w:rsid w:val="00087116"/>
    <w:rsid w:val="000C643B"/>
    <w:rsid w:val="000F2497"/>
    <w:rsid w:val="001023C5"/>
    <w:rsid w:val="001129DA"/>
    <w:rsid w:val="0013248C"/>
    <w:rsid w:val="00165EBE"/>
    <w:rsid w:val="001A4EFA"/>
    <w:rsid w:val="001C6645"/>
    <w:rsid w:val="001C708B"/>
    <w:rsid w:val="001E1458"/>
    <w:rsid w:val="00213B52"/>
    <w:rsid w:val="00234A5E"/>
    <w:rsid w:val="002F06B9"/>
    <w:rsid w:val="00304B7D"/>
    <w:rsid w:val="00312591"/>
    <w:rsid w:val="00315CFF"/>
    <w:rsid w:val="0034016C"/>
    <w:rsid w:val="00377338"/>
    <w:rsid w:val="00384575"/>
    <w:rsid w:val="003A08C8"/>
    <w:rsid w:val="003A3792"/>
    <w:rsid w:val="003D1DF0"/>
    <w:rsid w:val="0041649B"/>
    <w:rsid w:val="00450668"/>
    <w:rsid w:val="0046511D"/>
    <w:rsid w:val="00465C35"/>
    <w:rsid w:val="0048384F"/>
    <w:rsid w:val="004C13EB"/>
    <w:rsid w:val="004F56F0"/>
    <w:rsid w:val="005047F5"/>
    <w:rsid w:val="0051166C"/>
    <w:rsid w:val="00534E82"/>
    <w:rsid w:val="005453FA"/>
    <w:rsid w:val="00555FEE"/>
    <w:rsid w:val="00584758"/>
    <w:rsid w:val="0058654F"/>
    <w:rsid w:val="005E6784"/>
    <w:rsid w:val="00603FCB"/>
    <w:rsid w:val="006119F0"/>
    <w:rsid w:val="006319A4"/>
    <w:rsid w:val="00646C2F"/>
    <w:rsid w:val="006A0650"/>
    <w:rsid w:val="006A23BB"/>
    <w:rsid w:val="006E065A"/>
    <w:rsid w:val="006F66F7"/>
    <w:rsid w:val="007368D0"/>
    <w:rsid w:val="00744E23"/>
    <w:rsid w:val="007A155D"/>
    <w:rsid w:val="007D060D"/>
    <w:rsid w:val="007D1804"/>
    <w:rsid w:val="007F34AD"/>
    <w:rsid w:val="007F407F"/>
    <w:rsid w:val="00800CAD"/>
    <w:rsid w:val="008D11BF"/>
    <w:rsid w:val="008F281F"/>
    <w:rsid w:val="0090579A"/>
    <w:rsid w:val="00945F58"/>
    <w:rsid w:val="00946FDF"/>
    <w:rsid w:val="009473C1"/>
    <w:rsid w:val="00960E46"/>
    <w:rsid w:val="00973B76"/>
    <w:rsid w:val="009907DD"/>
    <w:rsid w:val="009A33A3"/>
    <w:rsid w:val="009E2328"/>
    <w:rsid w:val="009E3FFB"/>
    <w:rsid w:val="009F2ACE"/>
    <w:rsid w:val="00A20F77"/>
    <w:rsid w:val="00A5438B"/>
    <w:rsid w:val="00AA4000"/>
    <w:rsid w:val="00B224E7"/>
    <w:rsid w:val="00B3093E"/>
    <w:rsid w:val="00B4073F"/>
    <w:rsid w:val="00B44ABB"/>
    <w:rsid w:val="00B742FB"/>
    <w:rsid w:val="00BB2B69"/>
    <w:rsid w:val="00BB3FCD"/>
    <w:rsid w:val="00BD5196"/>
    <w:rsid w:val="00BF61F8"/>
    <w:rsid w:val="00C02729"/>
    <w:rsid w:val="00C11899"/>
    <w:rsid w:val="00C51D39"/>
    <w:rsid w:val="00C54E6E"/>
    <w:rsid w:val="00CC1CD7"/>
    <w:rsid w:val="00D173CF"/>
    <w:rsid w:val="00D53A05"/>
    <w:rsid w:val="00D54B36"/>
    <w:rsid w:val="00D54D5C"/>
    <w:rsid w:val="00D740CD"/>
    <w:rsid w:val="00D83C90"/>
    <w:rsid w:val="00D92C4E"/>
    <w:rsid w:val="00DC1A57"/>
    <w:rsid w:val="00DC7EE0"/>
    <w:rsid w:val="00DD4747"/>
    <w:rsid w:val="00DD6CE0"/>
    <w:rsid w:val="00DE0FCF"/>
    <w:rsid w:val="00DF5B8E"/>
    <w:rsid w:val="00E10DA0"/>
    <w:rsid w:val="00E35B3C"/>
    <w:rsid w:val="00E5312C"/>
    <w:rsid w:val="00E83EED"/>
    <w:rsid w:val="00E86BA9"/>
    <w:rsid w:val="00F275FE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WW-Nadpis"/>
    <w:next w:val="Zkladntext"/>
    <w:qFormat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6"/>
      </w:numPr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/>
    </w:rPr>
  </w:style>
  <w:style w:type="paragraph" w:styleId="Nadpis1">
    <w:name w:val="heading 1"/>
    <w:basedOn w:val="WW-Nadpis"/>
    <w:next w:val="Zkladntext"/>
    <w:qFormat/>
    <w:pPr>
      <w:numPr>
        <w:numId w:val="6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WW-Nadpis"/>
    <w:next w:val="Zkladntext"/>
    <w:qFormat/>
    <w:pPr>
      <w:numPr>
        <w:ilvl w:val="1"/>
        <w:numId w:val="6"/>
      </w:numPr>
      <w:outlineLvl w:val="1"/>
    </w:pPr>
    <w:rPr>
      <w:b/>
      <w:bCs/>
      <w:i/>
      <w:iCs/>
    </w:rPr>
  </w:style>
  <w:style w:type="paragraph" w:styleId="Nadpis3">
    <w:name w:val="heading 3"/>
    <w:basedOn w:val="WW-Nadpis"/>
    <w:next w:val="Zkladntext"/>
    <w:qFormat/>
    <w:pPr>
      <w:numPr>
        <w:ilvl w:val="2"/>
        <w:numId w:val="6"/>
      </w:numPr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Tlo-osnova">
    <w:name w:val="Tìlo - osnova"/>
    <w:basedOn w:val="Normln"/>
    <w:rPr>
      <w:color w:val="000000"/>
      <w:sz w:val="24"/>
    </w:rPr>
  </w:style>
  <w:style w:type="paragraph" w:customStyle="1" w:styleId="Odrka1">
    <w:name w:val="Odrážka 1"/>
    <w:basedOn w:val="Normln"/>
    <w:pPr>
      <w:ind w:left="360" w:hanging="360"/>
    </w:pPr>
    <w:rPr>
      <w:color w:val="000000"/>
      <w:sz w:val="24"/>
    </w:rPr>
  </w:style>
  <w:style w:type="paragraph" w:customStyle="1" w:styleId="Odrka2">
    <w:name w:val="Odrážka 2"/>
    <w:basedOn w:val="Normln"/>
    <w:pPr>
      <w:ind w:left="360" w:hanging="360"/>
    </w:pPr>
    <w:rPr>
      <w:color w:val="000000"/>
      <w:sz w:val="24"/>
    </w:rPr>
  </w:style>
  <w:style w:type="paragraph" w:customStyle="1" w:styleId="Odsazenprvndek">
    <w:name w:val="Odsazený první øádek"/>
    <w:basedOn w:val="Normln"/>
    <w:pPr>
      <w:ind w:firstLine="720"/>
    </w:pPr>
    <w:rPr>
      <w:color w:val="000000"/>
      <w:sz w:val="24"/>
    </w:rPr>
  </w:style>
  <w:style w:type="paragraph" w:customStyle="1" w:styleId="WW-Nadpis2">
    <w:name w:val="WW-Nadpis 2"/>
    <w:basedOn w:val="Normln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WW-Nadpis10">
    <w:name w:val="WW-Nadpis 1"/>
    <w:basedOn w:val="Normln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WW-Nadpis3">
    <w:name w:val="WW-Nadpis 3"/>
    <w:basedOn w:val="Normln"/>
    <w:pPr>
      <w:spacing w:before="120" w:after="120"/>
    </w:pPr>
    <w:rPr>
      <w:b/>
      <w:color w:val="000000"/>
      <w:sz w:val="24"/>
    </w:rPr>
  </w:style>
  <w:style w:type="paragraph" w:customStyle="1" w:styleId="slovanseznam">
    <w:name w:val="Èíslovaný seznam"/>
    <w:basedOn w:val="Normln"/>
    <w:pPr>
      <w:ind w:left="360" w:hanging="360"/>
    </w:pPr>
    <w:rPr>
      <w:color w:val="000000"/>
      <w:sz w:val="24"/>
    </w:rPr>
  </w:style>
  <w:style w:type="paragraph" w:customStyle="1" w:styleId="slovanosnova">
    <w:name w:val="Èíslovaná osnova"/>
    <w:basedOn w:val="Normln"/>
    <w:pPr>
      <w:ind w:left="360" w:hanging="360"/>
    </w:pPr>
    <w:rPr>
      <w:color w:val="000000"/>
      <w:sz w:val="24"/>
    </w:rPr>
  </w:style>
  <w:style w:type="paragraph" w:customStyle="1" w:styleId="TabulkaText">
    <w:name w:val="TabulkaText"/>
    <w:basedOn w:val="Normln"/>
    <w:pPr>
      <w:jc w:val="right"/>
    </w:pPr>
    <w:rPr>
      <w:color w:val="000000"/>
      <w:sz w:val="24"/>
    </w:rPr>
  </w:style>
  <w:style w:type="paragraph" w:customStyle="1" w:styleId="WW-Nadpis11111111">
    <w:name w:val="WW-Nadpis11111111"/>
    <w:basedOn w:val="Normln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Standardntext">
    <w:name w:val="Standardní text"/>
    <w:basedOn w:val="Normln"/>
    <w:rPr>
      <w:color w:val="000000"/>
      <w:sz w:val="24"/>
    </w:rPr>
  </w:style>
  <w:style w:type="paragraph" w:styleId="Zkladntextodsazen">
    <w:name w:val="Body Text Indent"/>
    <w:basedOn w:val="Normln"/>
    <w:rsid w:val="005453FA"/>
    <w:pPr>
      <w:spacing w:after="120"/>
      <w:ind w:left="283"/>
    </w:pPr>
  </w:style>
  <w:style w:type="paragraph" w:customStyle="1" w:styleId="Standardnte">
    <w:name w:val="Standardní te"/>
    <w:rsid w:val="005453FA"/>
    <w:rPr>
      <w:snapToGrid w:val="0"/>
      <w:color w:val="000000"/>
      <w:sz w:val="24"/>
    </w:rPr>
  </w:style>
  <w:style w:type="paragraph" w:styleId="Zpat">
    <w:name w:val="footer"/>
    <w:basedOn w:val="Normln"/>
    <w:rsid w:val="00736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Pardubicích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Kasíková</dc:creator>
  <cp:lastModifiedBy>Petr Kocourek</cp:lastModifiedBy>
  <cp:revision>3</cp:revision>
  <cp:lastPrinted>2014-04-28T05:45:00Z</cp:lastPrinted>
  <dcterms:created xsi:type="dcterms:W3CDTF">2014-05-06T06:43:00Z</dcterms:created>
  <dcterms:modified xsi:type="dcterms:W3CDTF">2014-05-06T06:44:00Z</dcterms:modified>
</cp:coreProperties>
</file>